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ATAS/1072/2012 vom 29. August 2012</w:t>
      </w:r>
    </w:p>
    <w:p>
      <w:r>
        <w:t>GE Cour de justice, 2012-08-29, FR</w:t>
      </w:r>
    </w:p>
    <w:p>
      <w:r>
        <w:rPr>
          <w:b/>
        </w:rPr>
        <w:t xml:space="preserve">Quelle: </w:t>
      </w:r>
      <w:r>
        <w:t>https://mcp.opencaselaw.ch/entscheid/ge_gerichte_ATAS_1072_2012</w:t>
      </w:r>
    </w:p>
    <w:p>
      <w:r>
        <w:t>FR: GE_GERICHTE ATAS/1072/2012 du 29 août 2012</w:t>
      </w:r>
    </w:p>
    <w:p>
      <w:r>
        <w:t>IT: GE_GERICHTE ATAS/1072/2012 del 29 agosto 2012</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w:t>
      </w:r>
    </w:p>
    <w:p>
      <w:r>
        <w:t>A/3419/2010 - 10/17 -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Le recours a été déposé dans le délai de 30 jours à compter de sa réception en date du 10 septembre 2010 par le mandataire du recourant, selon le timbre de réception à l'Etude de celui-ci. Cela étant, le recours est recevable (art. 56 ss LPGA).</w:t>
      </w:r>
    </w:p>
    <w:p>
      <w:r>
        <w:rPr>
          <w:b/>
        </w:rPr>
        <w:t>E. 3</w:t>
      </w:r>
    </w:p>
    <w:p>
      <w:r>
        <w:t>Est litigieuse en l’occurrence la question de savoir si le recourant présente une invalidité au sens de la loi lui ouvrant le droit à une rente d’invalidité.</w:t>
      </w:r>
    </w:p>
    <w:p>
      <w:r>
        <w:rPr>
          <w:b/>
        </w:rPr>
        <w:t>E. 4</w:t>
      </w:r>
    </w:p>
    <w:p>
      <w:r>
        <w:t>a)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 en moyenne durant une année sans interruption notable; c. au terme de cette année, il est invalide à 40 % au moins. b) En vertu de l'art. 28 al. 1 aLAI, dans sa teneur valable jusqu'au 31 décembre 2003, l'assuré a droit à une rente entière s'il est invalide à 66 2/3% au moins, à une demi-rente s'il est invalide à 50% au moins ou à un quart de rente s'il est invalide à 40% au moins. Selon art. 28 al. 1er LAI dans sa teneur en vigueur du 1er janvier 2004 au 31 décembre 2007 et l’art. 28 al. 2 LAI dans sa teneur dès le 1er janvier 2008, l’assuré a droit à une rente entière s’il est invalide à 70% au moins, à trois quarts de rente s’il est invalide à 60% au moins, à une demi-rente s’il est invalide à 50% au moins ou à un quart de rente s’il est invalide à 40% au moins.</w:t>
      </w:r>
    </w:p>
    <w:p>
      <w:r>
        <w:rPr>
          <w:b/>
        </w:rPr>
        <w:t>E. 5</w:t>
      </w:r>
    </w:p>
    <w:p>
      <w:r>
        <w:t>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L'art. 7 al. 2 LPGA n'a cependant pas modifié la notion d'incapacité de gain, mais correspond à l'inscription dans la loi de la jurisprudence dégagée jusqu'alors sur la notion d'invalidité (ATF 135 V 215 consid. 7 p. 229 ss.). Enfin, selon la jurisprudence, la notion d'invalidité, au sens du droit des assurances sociales, est une notion économique et non médicale; ce sont</w:t>
      </w:r>
    </w:p>
    <w:p>
      <w:r>
        <w:t>A/3419/2010 - 11/17 - les conséquences économiques objectives de l'incapacité fonctionnelle qu'il importe d'évaluer (ATF 110 V 275 consid. 4a, 105 V 207 consid. 2).</w:t>
      </w:r>
    </w:p>
    <w:p>
      <w:r>
        <w:rPr>
          <w:b/>
        </w:rPr>
        <w:t>E. 6</w:t>
      </w:r>
    </w:p>
    <w:p>
      <w:r>
        <w:t>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9C_395/2007, consid. 2.2). Le Tribunal fédéral a aussi exposé qu'en matière de dépendance à l'alcool, la science médicale distingue les troubles psychiatriques induits (secondaires à la prise d'alcool) des troubles psychiatriques indépendants (associés à la consommation d'alcool). La démarche diagnostique est délicate, dans la mesure où les effets d'une consommation abusive de substances affectent inévitablement le tableau clinique. En règle générale, les signes et symptômes psychiatriques sont induits et s'amendent spontanément par l'arrêt de la consommation dans les semaines qui suivent le sevrage. Dès lors, ils ne sauraient faire l'objet d'un diagnostic psychiatrique séparé. En revanche, si à l'issue d'une période d'abstinence suffisante, les éléments réunis sont suffisants, il y a lieu de retenir l'existence d'une comorbidité psychiatrique. L'anamnèse, notamment l'historique de la consommation d'alcool depuis l'adolescence, peut constituer un instrument utile dans le cadre de la détermination du diagnostic, notamment s'agissant de la préexistence d'un trouble indépendant (arrêt du Tribunal fédéral 9C_395/2007, consid. 2.3 et réf. y citées). Cependant, l'existence d'une comorbidité psychiatrique ne constitue pas encore un fondement suffisant pour conclure sur le plan juridique à une invalidité en raison</w:t>
      </w:r>
    </w:p>
    <w:p>
      <w:r>
        <w:t>A/3419/2010 - 12/17 -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consid. 2.4).</w:t>
      </w:r>
    </w:p>
    <w:p>
      <w:r>
        <w:rPr>
          <w:b/>
        </w:rPr>
        <w:t>E. 7</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w:t>
      </w:r>
    </w:p>
    <w:p>
      <w:r>
        <w:t>A/3419/2010 - 13/17 -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133 III 675 consid. 5.2 non publié, 129 III 18 consid. 2.6, 127 III 519 consid. 2a, 122 II 464 consid. 4a, 122 III 219 consid. 3c et les arrêts cités). Une telle manière de procéder ne viole pas le droit d’être entendu selon l’art. 29 al. 2 Cst. (SVR 2001 IV n. 10 p. 28 consid. 4b), la jurisprudence rendue sous l’empire de l’art. 4 aCst. étant toujours valable (ATF 124 V 94 consid. 4b, 122 V 162 consid. 1d).</w:t>
      </w:r>
    </w:p>
    <w:p>
      <w:r>
        <w:rPr>
          <w:b/>
        </w:rPr>
        <w:t>E. 8</w:t>
      </w:r>
    </w:p>
    <w:p>
      <w:r>
        <w:t>En l’occurrence, le recourant a fait l’objet d’une expertise psychiatrique, ainsi que d’une évaluation neuropsychologique. Selon l’expert, le recourant souffre d’un trouble de la personnalité émotionnellement labile type borderline, d’une dépendance aux opiacés, abstinent sous traitement de substitution, d’une dépendance à la cocaïne et d’un épisode dépressif, en rémission partielle sous traitement. Il retient que« indubitablement » le trouble de la personnalité a existé avant la consommation abusive de substances toxiques et que c'est ce trouble qui a beaucoup contribué à désorganiser le parcours de vie du recourant. A cet égard, la consommation de produits toxiques est un comportement classique des personnalités borderline, selon l’expert judiciaire. Il estime certain que c’est le trouble de la personnalité qui a fait émerger une tendance à la consommation de produits toxiques. Dans le cadre de la question concernant les atteintes</w:t>
      </w:r>
    </w:p>
    <w:p>
      <w:r>
        <w:t>A/3419/2010 - 14/17 - psychiatriques indépendantes de ceux ayant trait à la toxicomanie, l’expert a également retenu un trouble dépressif qui se superpose en partie aux caractéristiques de la personnalité émotionnellement labile. Selon l'expert, ce trouble n’est pas en rapport avec la consommation abusive de substances toxiques, mais avec la situation d’échec et avec l’incapacité du recourant à changer la situation. Enfin, l’expert retient des déficits des fonctions cognitives. Néanmoins, il admet que le trouble de la personnalité n’a pas induit de manière directe ou obligatoire la toxicomanie du recourant. Par ailleurs, sans toxicomanie, il ne peut être affirmé que les autres atteintes psychiatriques auraient obligatoirement empêché le recourant de travailler. Cela est seulement possible. Toutefois, les facultés cognitives ne peuvent pas être améliorées et leur diminution est probablement liée à des lésions organiques, après 20 ans de dépendance aux substances toxiques. En tout état de cause, l’expert juge irréaliste, sous l’angle psychiatrique, d’exiger du recourant le sevrage du traitement substitutif ou un sevrage des benzodiazépines. En cas de tentative non intégrée tendant à une diminution de la consommation de substances toxiques, une décompensation psychique et une perte de l’équilibre actuellement atteint est inévitablement à craindre. Avec le médecin traitant, la psychothérapeute et le neuropsychologue, il est de l’avis que le recourant ne dispose plus des ressources pour être réinséré professionnellement. Cette expertise remplit en principe les critères jurisprudentiels pour lui reconnaître une pleine valeur probante. Elle a en effet été établie en connaissance du dossier médical, prend en compte les plaintes du recourant, et repose sur un examen approfondi. Ses conclusions sont toutefois contestées en partie par l’intimé, sur la base de l’avis médical du 25 juin 2012 du Dr C__________. L’intimé requiert ainsi que l’expert explique pourquoi le trouble de la personnalité borderline ait prédisposé à une consommation de toxiques, alors que ce trouble n’avait jamais été d’intensité sévère, ni perturbé la scolarité ni motivé une prise en charge psychologique du recourant avant sa consommation de toxiques, et que le recourant n’a pas subi de maltraitance ou de traumatisme psychologique sévère durant l’enfance. Toutefois, la Cour de céans estime que l’expert judiciaire a répondu à cette question, en expliquant que la consommation de produits toxiques est un comportement classique des personnalités borderline. Par ailleurs, en l'occurrence, le recourant a commencé à consommer du cannabis à 14 ans et des drogues dures depuis l’âge de 17 ans. Le début de la toxicomanie coïncide donc avec l’âge auquel le trouble de la personnalité borderline commence à se manifester, soit au début de l’âge adulte (cf. DSM IV p. 767). Les manifestations de ce trouble de la personnalité se confondent donc en l'espèce avec les effets de la toxicomanie. Partant, l’observation du Dr C__________ ne paraît pas propre à mettre en cause la conclusion sur ce point de l’expertise.</w:t>
      </w:r>
    </w:p>
    <w:p>
      <w:r>
        <w:t>A/3419/2010 - 15/17 - L’intimé requiert en outre que l’expert judiciaire se prononce sur la question de savoir si un sevrage de l’une ou de plusieurs des substances toxiques consommées est exigible. Cependant, l’expert s’est prononcé clairement sur cette question à la page 16 de son expertise, en réponse à la 6ème question. Il a exposé qu’il n’était pas réaliste d’exiger du recourant un sevrage du traitement substitutif ni un sevrage des benzodiazépines. Grace au traitement en cours, la stabilisation psychique obtenue était probablement la meilleure possible. Une tentative non intégrée vers une diminution de la consommation de substances toxiques entraînerait inévitablement une décompensation psychique et une perte de l’équilibre actuellement atteint. Il convient donc de retenir que, selon l’expert judiciaire, un sevrage des substances toxiques n’est actuellement pas exigible, en raison de la présence des autres atteintes psychiatriques. L’intimé requiert également que l’expert réponde à la question de savoir si un stage en situation professionnelle simple, sollicitant principalement la mémoire visuelle, avec des niveaux d’apprentissage du niveau d’efficience d’un CFC est exigible, si oui, à quel taux et, si non, pourquoi. Il semble toutefois acquis qu'en l’état, le recourant présente une incapacité de travail totale, comme cela est confirmé par tous les médecins traitants et l'expert. Par ailleurs, le Dr C___________ a indiqué dans son avis médical, à la page 2, qu’un stage en situation professionnelle simple présupposerait l’arrêt de consommation de toxiques. Il est vrai que ce médecin a ajouté qu’il ne peut suivre l’expert en ce qu’il indique qu’une diminution des consommations aux toxiques déstabiliserait la situation psychique actuelle. Cependant, il n'a motivé en rien pour quelle raison il met en cause l’avis étayé de l’expert judiciaire sur ce point. Celui-ci a en effet expliqué qu’après 20 ans de consommation de substances toxiques, actuellement toujours sous cure de méthadone à un dosage important avec des dérapages, une consommation parallèle de cocaïne et de benzodiazépines, après de nombreux sevrages, une prise en charge psychologique et psychiatrique de longue date, il lui semble que la transformation du fonctionnement de personnalité, l’épuisement de l’énergie vitale, avec un émoussement affectif global, correspondent à des séquelles psychiatriques irréversibles, lesquelles sont seulement en partie consécutives à la polytoxicomanie. Concernant la question de l’intimé visant à savoir depuis quand existent les troubles cognitifs, il convient de relever que, selon le dossier médical, l'état psychique du recourant est stationnaire depuis quelques années et qu'il ne pourra en tout état de cause pas prétendre à des prestations rétroactives pour plusieurs années, comme il sera exposé ci-dessous. L'intimé se demande aussi si la consommation de toxiques est à même d’influer sur les troubles de l’attention, de la mémoire et de la concentration. Cependant, il sied de rappeler que, selon l’expert, il n’est pas exigible de soumettre le recourant à un sevrage des produits toxiques, de sorte que cette question devient sans objet.</w:t>
      </w:r>
    </w:p>
    <w:p>
      <w:r>
        <w:t>A/3419/2010 - 16/17 - Quant à la possibilité d'objectiver les lésions organiques, de l’avis de la Cour de céans, une réponse à cette question ne pourrait être donnée que par un neurologue, sur la base d’un examen radiologique du cerveau. L'expert psychiatre n'est donc pas à même de se prononcer à ce sujet. Il n’en demeure pas moins que des troubles cognitifs ont été objectivés lors de l’examen neuropsychologique. Cela étant, la Cour de céans n’a pas d’éléments pour mettre en doute les conclusions de l’expertise du Dr F__________. Il retient par conséquent que le recourant a été amené à une consommation de toxiques par un trouble de la personnalité borderline, de sorte que sa dépendance est en lien avec une atteinte psychiatrique et donc secondaire à celle-ci. Un tel trouble est en soi propre à entraîner une diminution de la capacité de travail, comme l'expert l'a admis dans sa réponse à la 5ème question, même si cela ne peut pas être constaté rétroactivement pour le recourant. Toutefois, le recourant est aujourd'hui également atteint dans ses facultés cognitives, au degré de la vraisemblance prépondérante en raison de lésions organiques dues à la toxicomanie depuis 20 ans, selon l'expert. Cela étant, il sied d'apprécier, de l'avis de la Cour, la mesure de ce qui exigible en tenant compte de l'ensemble des limitations liées au trouble de la personnalité, à la symptomatologie dépressive et à la dépendance. Or, celles-ci ont provoqué des séquelles psychiatriques irréversibles, rendant toute tentative de sevrage et de réinsertion dans le travail irréaliste, aux dires de l'expert judiciaire. Partant, une incapacité de travail totale ouvrant le droit à une rente entière doit être retenue.</w:t>
      </w:r>
    </w:p>
    <w:p>
      <w:r>
        <w:rPr>
          <w:b/>
        </w:rPr>
        <w:t>E. 9</w:t>
      </w:r>
    </w:p>
    <w:p>
      <w:r>
        <w:t>Le recourant ayant requis des prestations en juillet 2009, le droit à la rente prend naissance en janvier 2010, en vertu de l’art. 29 al. 1 LAI. A cet égard, il y a lieu de relever que l’état de santé du recourant n’a guère changé depuis le dépôt de sa demande.</w:t>
      </w:r>
    </w:p>
    <w:p>
      <w:r>
        <w:rPr>
          <w:b/>
        </w:rPr>
        <w:t>E. 10</w:t>
      </w:r>
    </w:p>
    <w:p>
      <w:r>
        <w:t>Au vu de ce qui précède, le recours sera admis, la décision annulée et le recourant mis au bénéfice d’une rente d’invalidité entière à compter du 1er janvier 2010.</w:t>
      </w:r>
    </w:p>
    <w:p>
      <w:r>
        <w:rPr>
          <w:b/>
        </w:rPr>
        <w:t>E. 11</w:t>
      </w:r>
    </w:p>
    <w:p>
      <w:r>
        <w:t>Le recourant obtenant entièrement gain de cause, une indemnité de 3'000 fr. lui est octroyée à titre de dépens.</w:t>
      </w:r>
    </w:p>
    <w:p>
      <w:r>
        <w:rPr>
          <w:b/>
        </w:rPr>
        <w:t>E. 12</w:t>
      </w:r>
    </w:p>
    <w:p>
      <w:r>
        <w:t>L’émolument de justice, fixé à 200 fr. sera mis à la charge de l’intimé.</w:t>
      </w:r>
    </w:p>
    <w:p>
      <w:r>
        <w:t>A/3419/2010 - 17/17 -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