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ATAS/106/2025 vom 19. Februar 2025</w:t>
      </w:r>
    </w:p>
    <w:p>
      <w:r>
        <w:t>GE Cour de justice, 2025-02-19, FR</w:t>
      </w:r>
    </w:p>
    <w:p>
      <w:r>
        <w:rPr>
          <w:b/>
        </w:rPr>
        <w:t xml:space="preserve">Quelle: </w:t>
      </w:r>
      <w:r>
        <w:t>https://mcp.opencaselaw.ch/entscheid/ge_gerichte_ATAS_106_2025</w:t>
      </w:r>
    </w:p>
    <w:p>
      <w:r>
        <w:t>FR: GE_GERICHTE ATAS/106/2025 du 19 février 2025</w:t>
      </w:r>
    </w:p>
    <w:p>
      <w:r>
        <w:t>IT: GE_GERICHTE ATAS/106/2025 del 19 febbraio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le recours est recevable (art. 56 ss LPGA et 62 ss de la loi sur la procédure administrative du 12 septembre 1985 [LPA - E 5 10]).</w:t>
      </w:r>
    </w:p>
    <w:p>
      <w:r>
        <w:rPr>
          <w:b/>
        </w:rPr>
        <w:t>E. 2</w:t>
      </w:r>
    </w:p>
    <w:p>
      <w:r>
        <w:t>Le litige porte sur le bien-fondé de la demande de restitution d’un montant de CHF 1'681.80, singulièrement sur l’horaire de travail à prendre en compte lors du calcul du gain intermédiaire.</w:t>
      </w:r>
    </w:p>
    <w:p>
      <w:r>
        <w:rPr>
          <w:b/>
        </w:rPr>
        <w:t>E. 3</w:t>
      </w:r>
    </w:p>
    <w:p>
      <w:r>
        <w:t>À titre liminaire, il convient d’examiner une éventuelle violation du droit d’être entendu du recourant, lequel se plaint de ne pas avoir été informé et de ne pas avoir pu se déterminer avant la prise de décision par l’intimée.</w:t>
      </w:r>
    </w:p>
    <w:p>
      <w:r>
        <w:rPr>
          <w:b/>
        </w:rPr>
        <w:t>E. 3.1</w:t>
      </w:r>
    </w:p>
    <w:p>
      <w:r>
        <w:t>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p. 293 ; 135 I 279 consid. 2.3 p. 282).</w:t>
      </w:r>
    </w:p>
    <w:p>
      <w:r>
        <w:t>A/3318/2024 - 7/15 - Ce droit est rappelé, en assurances sociales, à l’art. 42 LPGA. Selon cette disposition, qui s’applique en assurance-chômage par le renvoi de l’art. 1 al. 1 LACI, les parties ont le droit d’être entendues et il n’est pas nécessaire de les entendre avant une décision sujette à opposition.</w:t>
      </w:r>
    </w:p>
    <w:p>
      <w:r>
        <w:rPr>
          <w:b/>
        </w:rPr>
        <w:t>E. 3.2</w:t>
      </w:r>
    </w:p>
    <w:p>
      <w:r>
        <w:t>En l’espèce, l’intimée n’a pas violé le droit d’être entendu du recourant en prenant sa décision de restitution du 11 avril 2024 sans lui avoir donné la possibilité de se déterminer, celui-ci ayant correctement pu exercer son droit d’être entendu dans le cadre de son opposition du 17 avril 2024 à la décision précitée.</w:t>
      </w:r>
    </w:p>
    <w:p>
      <w:r>
        <w:rPr>
          <w:b/>
        </w:rPr>
        <w:t>E. 4.1</w:t>
      </w:r>
    </w:p>
    <w:p>
      <w:r>
        <w:t>Selon l'art. 25 LPGA, auquel renvoie l'art. 95 al. 1 LACI,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des prestations indûment touchées et son étendue dans le temps a pour but simplement de rétablir l'ordre légal après la découverte du motif justifiant la reconsidération ou la révision procédurale de la décision initiale d'octroi de prestations (ATF 122 V 134 consid. 2 d-e ; arrêt du Tribunal fédéral 9C_398/2021 du 22 février 2022 consid. 5.1). L'obligation de restituer suppose que soient réunies les conditions d'une révision procédurale (art. 53 al. 1 LPGA) ou d'une reconsidération (art. 53 al. 2 LPGA) de la décision par laquelle les prestations en cause ont été allouées (ATF 142 V 259 consid. 3.2 ; 138 V 426 consid. 5.2.1 ; 130 V 318 consid. 5.2 et les références). 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w:t>
      </w:r>
    </w:p>
    <w:p>
      <w:r>
        <w:t>A/3318/2024 - 8/15 - Si la révision procédurale et la reconsidération ont pour point commun de remédier à l'inexactitude initiale d'une décision (« anfängliche tatsächliche Unrichtigkeit » ; Ueli KIESER / Gabriela RIEMER-KAFKA, Tafeln zum schweizerischen Sozialversicherungsrecht, 5e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(ATAS/1244/2020 du 10 décembre 2020 consid. 7b ; ATAS/154/2019 du 25 février 2019 consid. 3b ; ATAS/1163/2014 du 12 novembre 2014 consid. 5c). L'administration peut reconsidérer une décision formellement passée en force de chose jugée et sur laquelle une autorité judiciaire ne s'est pas prononcée au fond, à condition qu'elle soit sans nul doute erronée et que sa rectification revête une importance notable (ATF 126 V 42 consid. 2b ; arrêt du Tribunal fédéral C 402/00 du 12 mars 2001 consid. 1a). Le non-respect d'une norme dans une situation de fait qui en commande clairement l'application relève bien d'une décision sans nul doute erronée (arrêt du Tribunal fédéral 32/07 du 7 décembre 2007 consid. 3.2). Quant à l'importance notable de la rectification, ce critère est réalisé dès que la rectification porte sur un montant qui dépasse plusieurs centaines de francs (Boris RUBIN, Assurance-chômage, Droit fédéral, Survol des mesures cantonales, Procédure, 2e éd., Zurich, Bâle, Genève 2006, p. 827 ; ATAS/860/2023 du 8 novembre 2023 consid. 4.2 et ATAS/671/2024 du 3 septembre 2024, consid. 4.1). La reconsidération sert à corriger une application initialement erronée de la loi fondée sur l'appréciation des faits. L'inexactitude est manifeste lorsque dès le début, il n'y a aucun doute raisonnable de son inexactitude (ATF 138 V 324). Dans la mesure où le pouvoir d'appréciation se fonde sur la situation des faits et du droit, y compris la pratique juridique, il n'y a pas place pour une inexactitude incontestable manifeste (ATF 141 V 405)</w:t>
      </w:r>
    </w:p>
    <w:p>
      <w:r>
        <w:rPr>
          <w:b/>
        </w:rPr>
        <w:t>E. 4.2.1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w:t>
      </w:r>
    </w:p>
    <w:p>
      <w:r>
        <w:t>A/3318/2024 - 9/15 -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Selon l’art. 10 LACI, est réputé sans emploi celui qui n’est pas partie à un rapport de travail et qui cherche à exercer une activité à plein temps (al. 1). Selon l’alinéa 2 de cette disposition, est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 N’est pas réputé partiellement sans emploi celui qui, en raison d’une réduction passagère de l’horaire de travail, n’est pas occupé normalement (al. 2bis). Celui qui cherche du travail n’est réputé sans emploi ou partiellement sans emploi que s’il s’est inscrit aux fins d’être placé (al. 3). 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(arrêt du Tribunal fédéral 8C_812/2017 du 23 août 2018 consid. 5.3.1 et les références).</w:t>
      </w:r>
    </w:p>
    <w:p>
      <w:r>
        <w:rPr>
          <w:b/>
        </w:rPr>
        <w:t>E. 4.2.2</w:t>
      </w:r>
    </w:p>
    <w:p>
      <w:r>
        <w:t>D'après l'art. 24 LACI – intitulé « prise en considération du gain intermédiaire » –, est réputé gain intermédiaire, tout gain que le chômeur retire d’une activité salariée ou indépendante durant une période de contrôle, dont le montant est inférieur à l’indemnité de chômage à laquelle il a droit. La prise en compte du gain intermédiaire relève uniquement de la compétence de la caisse de chômage. L'assuré qui perçoit un gain intermédiaire a droit à la compensation de la perte de gain. Le Conseil fédéral fixe le mode de calcul du gain retiré d'une activité indépendante (al. 1). Est réputée perte de gain la différence entre le gain assuré et le gain intermédiaire, ce dernier devant être conforme, pour le travail effectué, aux</w:t>
      </w:r>
    </w:p>
    <w:p>
      <w:r>
        <w:t>A/3318/2024 - 10/15 - usages professionnels et locaux. Les gains accessoires ne sont pas pris en considération (cf. art. 23 al. 3 LACI ; al. 3). 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 chômage n'indemnise que la différence entre le gain assuré et le gain intermédiaire (art. 24 al. 3 LACI) ; effectuer une telle comparaison nécessite d'en définir les termes selon des critères analogues (dans ce sens, ATF 121 V 360 consid. 6a ; ATAS/24/2021 du 13 janvier 2021 consid. 7b). Il convient par ailleurs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Aussi, en règle ordinaire, le Tribunal fédéral détermine le gain intermédiaire selon les mêmes règles qu'il applique au calcul du gain assuré. Ainsi en va-t-il, par exemple, du régime applicable aux indemnités de vacances versées avec le salaire, sous forme de pourcentage (cf. DTA 2000 n° 7 p. 35 consid. 2). La jurisprudence n'exclut toutefois pas d'examiner, dans certains cas, le droit d'un assuré à des indemnités compensatoires selon des critères propres, en raison des particularités inhérentes au système régi par l'art. 24 LACI (cf. SVR 2000 ALV n° 22 p. 63 consid. 3) ; la loi le prévoit parfois expressément, notamment à l'art. 24 al. 3 LACI, qui prescrit de prendre en considération un gain intermédiaire conforme aux usages professionnels et locaux. Selon le ch. C132 du Bulletin LACI IC, publié par le SECO, l'assuré a droit à une compensation de sa perte de gain pour les jours où il réalise un gain intermédiaire. Est réputée perte de gain la différence entre le gain assuré et le gain intermédiaire réalisé dans une période de contrôle pour autant que ce dernier atteigne au moins le tarif usuel pour ce genre de travail dans la profession et la localité. Le revenu provenant d’un gain intermédiaire est pris en compte dans chaque période de contrôle pendant laquelle la prestation de travail est fournie (principe de survenance). La date à laquelle l’assuré réalise sa créance est sans importance (ch. C133). Si le salaire versé n’est pas conforme au tarif usuel dans la profession et la localité, la caisse l’adapte au salaire en usage pour ce genre de travail.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Un salaire conforme aux usages professionnels et locaux est pris en compte dès le début du gain</w:t>
      </w:r>
    </w:p>
    <w:p>
      <w:r>
        <w:t>A/3318/2024 - 11/15 - intermédiaire, même si aucun revenu n’a été réalisé pendant les premiers mois. Une rétribution à la commission ne représente pas un salaire conforme aux usages professionnels et locaux si le revenu de l’assuré n’est pas en rapport avec sa prestation de travail. Si, au nom de son devoir de diminuer le dommage, l’assuré prend, à titre de stage, un emploi normal pour lequel il touche un salaire non conforme aux tarifs usuels dans la profession et la localité, c’est ce tarif qui sera pris en compte pour le calcul des indemnités compensatoires. Selon le ch. C142, relatif aux principes applicables au cas de solde négatif, aux termes de l’art. 324 CO, l’employeur ne peut réduire le salaire s’il a empêché, par sa propre faute, l’exécution du travail ou s’est trouvé en demeure de l’accepter pour d’autres motifs. Il est alors tenu de verser le salaire, à condition toutefois que le travailleur lui ait offert, comme il se doit, de travailler et ait accepté d’accomplir des heures supplémentaires alors que son solde d’heures était négatif, dans la mesure où il pouvait s’en charger et où les règles de la bonne foi permettaient de le lui demander (voir art. 321c CO). Deux cas de figure peuvent dès lors se présenter : - L’employeur est en demeure d’accepter le travail et doit verser le salaire convenu. Le travailleur est tenu de faire valoir sa créance envers son employeur. Il n’appartient pas à l’assurance-chômage de couvrir les créances de l’assuré envers son employeur et de libérer ainsi ce dernier de son obligation de verser le salaire. - Le travailleur n’a pas offert dûment de travailler et n’a pas été empêché de le faire pour des motifs indépendants de sa volonté, p. ex. maladie, accident, etc., au sens de l’art. 324a CO. Le fait que l’assuré n’offre pas son travail dans les règles exclut toute demeure de l’employeur, lequel n’est dès lors plus tenu de verser le salaire convenu. L’assurance doit sanctionner le travailleur responsable de la perte de travail provoquée par son comportement. Conclusion : dans un cas comme dans l’autre, on ne tient pas compte des réductions de salaire et c’est le salaire convenu contractuellement qui doit être pris en compte comme gain intermédiaire. Dans un arrêt 8C_229/2023 du 26 avril 2024, le Tribunal fédéral a considéré que la systématique de la loi et la ratio legis conduisaient à assimiler le gain intermédiaire réalisé – indépendamment du montant de la rémunération versée par l’employeur – au droit au salaire fixé par le contrat de travail et que la méthode de calcul du gain intermédiaire consistant à prendre en compte les heures de travail effectives était contraire au droit fédéral (consid. 7.5). Le ch. 142 de la directive qui prévoyait que le salaire convenu contractuellement devait être imputé en tant que revenu intermédiaire, ne pouvait être qualifié d’illégale.</w:t>
      </w:r>
    </w:p>
    <w:p>
      <w:r>
        <w:rPr>
          <w:b/>
        </w:rPr>
        <w:t>E. 4.2.3</w:t>
      </w:r>
    </w:p>
    <w:p>
      <w:r>
        <w:t>Soumise à la loi fédérale sur le service de l’emploi et la location de services du 6 octobre 1989 (LSE – RS 823.11), la location de services est le contrat par lequel une personne (le bailleur de services) met des travailleurs à la disposition</w:t>
      </w:r>
    </w:p>
    <w:p>
      <w:r>
        <w:t>A/3318/2024 - 12/15 - d’une autre (le locataire de services), moyennant rémunération. On considère en général qu’il s’agit d’un contrat innommé sui generis, comportant des aspects du mandat (TERCIER / FAVRE / EIGENMANN, Les contrats spéciaux, 4e éd. 2009, n° 3272 p. 479 ; MATILE / ZILLA / STREIT, Travail temporaire, Commentaire pratique des dispositions fédérales sur la location de services [art. 12-39 LSE], 2010, p. 5ss. ; Luc THÉVENOZ, Le travail intérimaire, 1987, p. 121ss ; cf. aussi ATF 119 V 357 consid. 2a). L’art. 27 OSE distingue trois formes de location de services: le travail temporaire, le travail en régie et la mise à disposition occasionnelle de travailleurs. En cas de travail temporaire (ou travail intérimaire), l’employeur (l’agence de placement) ne conclut pas, dans un premier temps, de véritable contrat de travail avec son employé, mais un contrat-cadre,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 Le salaire n’est pas dû entre deux missions (voir l’arrêt du Tribunal fédéral 4C.356/2004 du</w:t>
      </w:r>
    </w:p>
    <w:p>
      <w:r>
        <w:rPr>
          <w:b/>
        </w:rPr>
        <w:t>E. 7</w:t>
      </w:r>
    </w:p>
    <w:p>
      <w:r>
        <w:t>décembre 2004 consid. 2.3). Quant au travail en régie, il se caractérise par le fait que le travailleur est engagé en vue de la location de ses services à diverses entreprises clientes. Cependant, contrairement au travail temporaire, la durée du travail est en principe indépendante des missions effectuées dans les entreprises clientes. Le travailleur demeure lié par un contrat de travail durable avec son employeur. Celui-ci supporte donc le risque éventuel d’inactivité du travailleur entre deux placements. On parle dans ce cas de travail intérimaire improprement dit (ATF 137 V 114 consid. 4.2.2 et les références ; ATAS/965/2022 du</w:t>
      </w:r>
    </w:p>
    <w:p>
      <w:r>
        <w:rPr>
          <w:b/>
        </w:rPr>
        <w:t>E. 8</w:t>
      </w:r>
    </w:p>
    <w:p>
      <w:r>
        <w:t>novembre 2022 consid. 4.3.2). Selon l’art. 19 al. 2 let. d LSE, le bailleur de services est tenu de convenir par écrit de l'horaire de travail avec le travailleur. Swissstaffing est un centre de compétence des prestataires des services de l’emploi suisse et une association des employeurs. Cette association indique avoir comme prestataires notamment le SECO. Son mémento du 13 avril 2021 sur l’aménagement du temps de travail indique qu’il est impératif de convenir d’un horaire de travail correspondant aux besoins réels, un taux d’occupation incorrect ou excessivement élevé étant susceptible d’entraîner la demeure de l’employeur (cf. pages 1 et 2). La formulation « en moyenne 42 heures par semaine » était désormais licite et utile pour amortir de « petites » fluctuations du temps de travail. En cas de fortes fluctuations, la possibilité pour éviter les heures en moins et de conclure un nouveau contrat de mission avec le nombre d’heures de travail correspondant. Une clause visant à minimiser le risque de demeure de l’employeur était également proposée, et ajoutée par ailleurs au contrat-cadre de travail du 5 mai 2023, selon laquelle seul le temps de travail pour lequel une justification était produite était indemnisée si les heures de travail effectivement fournies ne concordaient pas avec les heures de travail convenues.</w:t>
      </w:r>
    </w:p>
    <w:p>
      <w:r>
        <w:t>A/3318/2024 - 13/15 - 5. En l’espèce, la décision de restitution a été rendue en temps utile le 11 avril 2024, soit moins de trois ans après que l’intimée a eu connaissance des explications de l’employeur du 14 juillet 2023 sur l’horaire de travail du recourant et moins de cinq ans depuis le versement des indemnités demandées en restitution. L'intimée a demandé la restitution du trop-perçu à titre d’indemnités pour les mois de mai, juillet, août, octobre et novembre 2023, au motif que le gain intermédiaire retenu initialement pour ces périodes de contrôle était fondé sur les heures effectives de travail du recourant pour son employeur alors qu’il y avait lieu de tenir compte de l’horaire de travail prévu dans le contrat de mission, qui était de 24 heures par semaine. Ainsi, le montant retenu était inférieur à ce qui aurait dû être retenu. Le recourant conteste l’horaire de travail retenu par l’intimée, faisant valoir qu’il cet horaire avait été convenu avec son employeur à titre indicatif afin de tenir compte de son absence de formation et du fait qu’il ne connaissait pas le programme. Il avait effectué en réalité moins d’heures de travail, soit environ 20 à 21 heures par semaine, et fallait tenir compte de ces heures de travail effectives pour établir le gain intermédiaire. En convenant d’un horaire « d’environ 24 heures par semaine », l’employeur avait appliqué les recommandations de Swissstaffing, partenaire du SECO et, ainsi, les directives de ce dernier. Il convient en l’espèce de retenir qu’un horaire de 24 heures de travail a été convenu entre l’employeur et le recourant, quand bien même il était spécifié dans le contrat un horaire « d’environ 24 heures », dès lors que selon l’art. 19 al. 2 let. d LSE, le bailleur de services est tenu de convenir par écrit de l'horaire de travail avec le travailleur et que l’employeur du recourant ne pouvait ignorer, que selon le mémento de Swissstaffing du 13 avril 2021, il était tenu de verser le salaire sur la base de l’horaire de travail convenu par le contrat-cadre de travail et qu’il devait en cas de fortes fluctuations conclure un nouveau contrat de mission avec le nombre d’heures de travail correspondant. C’est ainsi à bon droit que l’intimée a corrigé le 20 février 2024 les décomptes relatifs aux périodes de mai, juillet, août, octobre et novembre 2023, lesquels étaient fondés sur les heures de travail réellement effectuées par le recourant pour son employeur et non sur celles convenues contractuellement avec ce dernier. Les premiers décomptes de l’intimée étaient manifestement erronés, au vu des directives du SECO et du mémento de Swissstaffing, étant relevé que le Tribunal fédéral, dans son arrêt 8C_229/2023 du 26 avril 2024, a considéré que le ch. C142 du Bulletin LACI IC, qui prévoit que le salaire convenu contractuellement doit être imputé en tant que revenu intermédiaire, n’est pas illégal. Le montant versé en trop par l’intimée est de CHF 1'681.80 et il doit être considéré comme d’une importance notable, selon la jurisprudence. Les conditions d’une reconsidération étaient ainsi remplies, de sorte que la demande de restitution de l’intimée doit être confirmée, étant précisé que les</w:t>
      </w:r>
    </w:p>
    <w:p>
      <w:r>
        <w:t>A/3318/2024 - 14/15 - nouveaux décomptes de l'intimée n’appellent pas la critique et n’ont pas été remis en cause par le recourant. 6. Infondé le recours sera rejeté. Pour le surplus, la procédure est gratuite (art. 61 let. fbis LPGA en lien avec l'art. 1 al. 1 LACI).</w:t>
      </w:r>
    </w:p>
    <w:p>
      <w:r>
        <w:t>A/3318/2024 - 15/15 -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