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ATAS/106/2015 vom 9. Februar 2015</w:t>
      </w:r>
    </w:p>
    <w:p>
      <w:r>
        <w:t>GE Cour de justice, 2015-02-09, FR</w:t>
      </w:r>
    </w:p>
    <w:p>
      <w:r>
        <w:rPr>
          <w:b/>
        </w:rPr>
        <w:t xml:space="preserve">Quelle: </w:t>
      </w:r>
      <w:r>
        <w:t>https://mcp.opencaselaw.ch/entscheid/ge_gerichte_ATAS_106_2015</w:t>
      </w:r>
    </w:p>
    <w:p>
      <w:r>
        <w:t>FR: GE_GERICHTE ATAS/106/2015 du 9 février 2015</w:t>
      </w:r>
    </w:p>
    <w:p>
      <w:r>
        <w:t>IT: GE_GERICHTE ATAS/106/2015 del 9 febbraio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c'est à bon droit que l'OAI a nié toute invalidité au recourant au motif que l'atteinte cardio-vasculaire dont il est atteint ne constitue pas une atteinte à la santé ayant elle-même valeur de maladie invalidante, respectivement si les limitations fonctionnelles du recourant sont compatibles avec l'exercice d'une activité professionnelle de courtier en assurance à 100 % dès le 1er avril 2011, et s'il est parvenu à cette conclusion au terme d'une instruction complète prenant en compte tous les éléments médicaux pertinents.</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Selon l’art. 28 al. 1 LAI, l’assuré a droit à une rente aux conditions suivantes : a. sa capacité de gain ou sa capacité d’accomplir ses travaux habituels ne peut pas être établie, maintenue ou améliorée par des mesures de réadaptation raisonnablement exigibles ;</w:t>
      </w:r>
    </w:p>
    <w:p>
      <w:r>
        <w:t>A/3466/2014 - 7/12 - b. il a présenté une incapacité de travail d’au moins 40 % en moyenne durant une année sans interruption notable ; c. aux termes de cette année, il est invalide à 40 % au moins.</w:t>
      </w:r>
    </w:p>
    <w:p>
      <w:r>
        <w:rPr>
          <w:b/>
        </w:rPr>
        <w:t>E. 6</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7</w:t>
      </w:r>
    </w:p>
    <w:p>
      <w:r>
        <w:t>Dans l’assurance invalidité, l’instruction des faits d’ordre médical se fonde sur le rapport du médecin-traitant destiné à l’Office de l’Assurance-Invalidité, les expertises de médecins indépendants de l’Institution de l’assurance, les examens pratiqués par les centres d’observation médicale de l’assurance invalidité (ATF 123 V 175), les expertises produites par une partie ainsi que les expertises médicales ordonnées par le juge (VSI 1997, page 318, consid. 3b ; BLANC, La procédure administrative en assurance invalidité, thèse Fribourg 1999, p. 142).</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w:t>
      </w:r>
    </w:p>
    <w:p>
      <w:r>
        <w:t>A/3466/2014 - 8/12 - dossier, et que l'expert aboutit à des résultats convaincants, le juge ne saurait les écarter aussi longtemps qu'aucun indice concret ne permet de douter de leur bien- fondé (ATF 125 V 351 consid. 3b/bb).</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13</w:t>
      </w:r>
    </w:p>
    <w:p>
      <w:r>
        <w:t>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w:t>
      </w:r>
    </w:p>
    <w:p>
      <w:r>
        <w:t>A/3466/2014 - 9/12 -</w:t>
      </w:r>
    </w:p>
    <w:p>
      <w:r>
        <w:rPr>
          <w:b/>
        </w:rPr>
        <w:t>E. 14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15</w:t>
      </w:r>
    </w:p>
    <w:p>
      <w:r>
        <w:t>Dans le cas d'espèce, l'expertise ordonnée par l'intimé répondait aux critères requis par la jurisprudence mentionnée ci-dessus, s'agissant des droits de participation de l'assuré, lequel avait été dûment interpellé préalablement à la mise en œuvre des experts de la PMU de Lausanne. Qualitativement, cette expertise répond également aux exigences posées par la jurisprudence pour que lui soit reconnue une pleine valeur probante. Les experts se sont prononcés sur toutes les questions posées, après avoir pris en considération toute la documentation médicale à leur disposition dans le dossier, après avoir procédé à l'examen de l'intéressé, avoir dressé une anamnèse complète, soumis l'assuré à plusieurs consultations spécialisées, notamment de cardiologie en date du 4 juin 2014 par les docteurs G_____ et H_____, pris en compte les plaintes du patient et discuté des avis de ses médecins traitants.</w:t>
      </w:r>
    </w:p>
    <w:p>
      <w:r>
        <w:rPr>
          <w:b/>
        </w:rPr>
        <w:t>E. 16</w:t>
      </w:r>
    </w:p>
    <w:p>
      <w:r>
        <w:t>La chambre de céans relève que les avis médicaux versés au dossier postérieurement au dépôt du recours ne remettent pas fondamentalement en cause les constatations et avis des experts. Le Dr F_____, qui a examiné le recourant le 8 octobre 2014, a constaté, comme les experts, que le diamètre total de la zone de thrombose et au niveau de l'isthme aortique était discrètement augmenté par rapport au contrôle de l'année précédente, et même si le risque de rupture subite reste faible dans la mesure où cette portion est thrombosée, il a évoqué avec le patient l'idée d'une future intervention préventive et prévu d'effectuer un nouveau scanner de contrôle en début 2015. Dans une attestation rédigée à la demande du patient le 7 novembre 2014, il confirme qu'actuellement son état est stabilisé, et que l'évolution naturelle de la maladie rendrait probablement une nouvelle intervention nécessaire à moyen terme. La décision devant être prise au début de l'année 2015, il considérait que, d'ici là, une activité professionnelle ne pouvait être recommandée. Le cardiologue traitant du recourant, le Dr E_____ va dans le même sens et relève qu'il est conseillé d'éviter le stress psychologique persistant et d'avoir un contrôle strict de la tension artérielle.</w:t>
      </w:r>
    </w:p>
    <w:p>
      <w:r>
        <w:t>A/3466/2014 - 10/12 - Ces avis médicaux apportent néanmoins un élément d'appréciation complémentaire, qui n'a pas été évoqué dans le cadre de l'expertise et ne ressortait pas en tant que tel dans l'état du dossier médical au moment où les experts ont été amenés à se prononcer : l'incidence du stress inhérent au genre d'activité professionnelle de courtier en assurances du recourant, sur son état de santé. Ainsi, les parties convergent sur le fait que cette question devrait être soumise aux experts. Elles divergent toutefois quant aux modalités de cette mesure d'instruction complémentaire nécessaire : l'intimé propose de soumettre les documents médicaux ainsi que l'ensemble des CT-Scan réalisés, soit notamment celui de septembre 2014, postérieur à l'expertise, et du même coup, ceux qui auront été réalisés entre-temps, en particulier celui prévu en début d'année 2015. Le recourant estime pour sa part que les experts qui se sont prononcés le 1er juillet 2014 ne présentent pas l'objectivité nécessaire pour se prononcer complémentairement, au motif qu'ils ont déjà conclu précédemment que la santé de l'assuré permettait son retour au travail, et qu'il tomberait selon lui sous le sens que ces experts ne reviendraient pas sur leur avis antérieur. On ne saurait suivre le recourant sur ce terrain. Au-delà d'une affirmation purement spéculative et toute générale, il n'avance aucun élément concret qui permettrait de laisser supposer la moindre prévention des experts, ou de suspecter leur incapacité à nuancer leur avis ou à en changer en présence d'éléments nouveaux, ou de se prononcer sur des aspects qui ne leur auraient pas été soumis à l'époque. Ainsi, les documents médicaux produits par le recourant à l'appui de son recours devront être soumis aux experts de la PMU dans le cadre du complément d'expertise que l'intimé devra ordonner, sur la base d'une liste de questions qu'il aura préparée, et soumise au recourant qui aura la faculté de proposer aux besoins des questions complémentaires. Ces documents devront encore être complétés avec l'ensemble des CT-Scan réalisés, y compris les plus récents.</w:t>
      </w:r>
    </w:p>
    <w:p>
      <w:r>
        <w:rPr>
          <w:b/>
        </w:rPr>
        <w:t>E. 17</w:t>
      </w:r>
    </w:p>
    <w:p>
      <w:r>
        <w:t>Cela étant, la chambre de céans estime qu'en fonction des réponses que les experts seront amenés à donner, il pourrait être nécessaire de compléter cette expertise par une observation professionnelle, laquelle permettra également de préciser quelles activités professionnelles seraient encore ouvertes au recourant, s'il devait s'avérer que l'activité de courtier en assurances est, aux dires des experts, contre-indiquée pour le recourant.</w:t>
      </w:r>
    </w:p>
    <w:p>
      <w:r>
        <w:rPr>
          <w:b/>
        </w:rPr>
        <w:t>E. 18</w:t>
      </w:r>
    </w:p>
    <w:p>
      <w:r>
        <w:t>Au vu de ce qui précède, le dossier sera renvoyé à l’OAI pour instruction complémentaire. Il devra inviter les experts de la PMU à compléter leur rapport en répondant notamment à la question de savoir si l'état de santé actuel de l'assuré tel qu'il résulte notamment des documents médicaux produits en instance de recours a d'une part subi une aggravation objective ayant une répercussion sur sa capacité travail, et quelles seraient alors les limitations fonctionnelles à retenir, ainsi qu'à la question de savoir, même dans l'hypothèse où l'on ne devrait pas retenir une telle aggravation de l'état de santé, ces derniers mois, si en tout état l'assuré doit éviter</w:t>
      </w:r>
    </w:p>
    <w:p>
      <w:r>
        <w:t>A/3466/2014 - 11/12 - tout stress, et si dès lors une activité de courtier en assurances apparaît raisonnablement exigible ou non. En fonction du résultat de ce complément d'expertise, il appartiendra à l'intimé d'ordonner, le cas échéant, une mesure de réadaptation professionnelle de l'assuré, avant de rendre une nouvelle décision.</w:t>
      </w:r>
    </w:p>
    <w:p>
      <w:r>
        <w:rPr>
          <w:b/>
        </w:rPr>
        <w:t>E. 19</w:t>
      </w:r>
    </w:p>
    <w:p>
      <w:r>
        <w:t>Ainsi le recours sera partiellement admis et la décision du 7 octobre 2014 sera annulée.</w:t>
      </w:r>
    </w:p>
    <w:p>
      <w:r>
        <w:rPr>
          <w:b/>
        </w:rPr>
        <w:t>E. 20</w:t>
      </w:r>
    </w:p>
    <w:p>
      <w:r>
        <w:t>Vu l'issue du litige, l'assuré, représenté par un conseil et obtenant partiellement gain de cause, une indemnité de CHF 1'500.- lui sera allouée, à charge de l'intimé (art. 61 let. g LPGA). Etant donné que, depuis le 1er juillet 2006, la procédure n'est plus gratuite (art. 69 al. 1bis LAI), au vu du sort du recours, il y a lieu de condamner l'intimé au paiement d'un émolument de CHF 200.-.</w:t>
      </w:r>
    </w:p>
    <w:p>
      <w:r>
        <w:t>A/3466/2014 - 12/12 -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