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ATAS/1069/2021 vom 14. Oktober 2021</w:t>
      </w:r>
    </w:p>
    <w:p>
      <w:r>
        <w:t>GE Cour de justice, 2021-10-14, FR</w:t>
      </w:r>
    </w:p>
    <w:p>
      <w:r>
        <w:rPr>
          <w:b/>
        </w:rPr>
        <w:t xml:space="preserve">Quelle: </w:t>
      </w:r>
      <w:r>
        <w:t>https://mcp.opencaselaw.ch/entscheid/ge_gerichte_ATAS_1069_2021</w:t>
      </w:r>
    </w:p>
    <w:p>
      <w:r>
        <w:t>FR: GE_GERICHTE ATAS/1069/2021 du 14 octobre 2021</w:t>
      </w:r>
    </w:p>
    <w:p>
      <w:r>
        <w:t>IT: GE_GERICHTE ATAS/1069/2021 del 14 ottobre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recours, interjeté dans les forme et délai légaux, est recevable (art. 56ss LPGA; art. 62ss de la de loi sur la procédure administrative du 12 septembre 1985 [LPA - E 5 10]).</w:t>
      </w:r>
    </w:p>
    <w:p>
      <w:r>
        <w:rPr>
          <w:b/>
        </w:rPr>
        <w:t>E. 3</w:t>
      </w:r>
    </w:p>
    <w:p>
      <w:r>
        <w:t>Le litige porte sur la question du bien-fondé du rejet par l'intimée de la demande en révision procédurale formulée par l'assuré. En d'autres termes, le litige se limite à la question de savoir s'il existe des faits ou moyens de preuve nouveaux et, cas échéant, s'ils ont été évoqués en temps utile.</w:t>
      </w:r>
    </w:p>
    <w:p>
      <w:r>
        <w:rPr>
          <w:b/>
        </w:rPr>
        <w:t>E. 4</w:t>
      </w:r>
    </w:p>
    <w:p>
      <w:r>
        <w:t>En vertu de l’art. 53 al. 1 LPGA, les décisions formellement passées en force sont soumises à révision si l’assuré ou l’assureur découvre subséquemment des faits nouveaux importants ou trouve des nouveaux moyens de preuve qui ne pouvaient être produits auparavant. Aux termes de l'art. 55 al. 1 LPGA, les points de procédure qui ne sont pas réglés de manière exhaustive aux art. 27 à 54 LPGA ou par les dispositions des lois spéciales sont régis par la loi fédérale du 20 décembre 1968 sur la procédure administrative (PA; RS 172.021). Selon l'art. 67 al. 1 PA, la demande de révision doit être adressée par écrit à l'autorité qui a rendu la décision dans les 90 jours dès la découverte du motif de révision, mais au plus tard dans les dix ans dès la notification de la décision. La jurisprudence considère que les règles sur les délais prévues à l'art. 67 PA s'appliquent, en vertu de l'art. 55 al. 1 LPGA, à la révision procédurale d'une décision administrative selon l'art. 53 al. 1 LPGA (ATF U 561/06 du 28 mai 2007, consid. 4). De la même manière, l'art. 80 let. b LPA prévoit qu’il y a lieu à révision lorsque, dans une affaire réglée par une décision définitive, il apparaît que des faits ou des moyens de preuve nouveaux et importants existent, que le recourant ne pouvait connaître ou invoquer dans la procédure précédente. Conformément à l’art. 81 al. 1 LPA, la demande de révision doit être adressée par écrit à la juridiction qui a rendu la décision dans les trois mois dès la découverte du motif de révision.</w:t>
      </w:r>
    </w:p>
    <w:p>
      <w:r>
        <w:rPr>
          <w:b/>
        </w:rPr>
        <w:t>E. 5</w:t>
      </w:r>
    </w:p>
    <w:p>
      <w:r>
        <w:t>La notion de faits ou moyens de preuve nouveaux s'apprécie de la même manière en cas de révision (procédurale) d'une décision administrative (art. 53 al. 1 LPGA)</w:t>
      </w:r>
    </w:p>
    <w:p>
      <w:r>
        <w:t>A/960/2020 - 7/11 - et de révision d'un jugement cantonal (art. 61 let. i LPGA) (ATF U 57/06 du</w:t>
      </w:r>
    </w:p>
    <w:p>
      <w:r>
        <w:rPr>
          <w:b/>
        </w:rPr>
        <w:t>E. 7</w:t>
      </w:r>
    </w:p>
    <w:p>
      <w:r>
        <w:t>Cela étant dit, la Cour de céans ne peut s'empêcher de noter que l'accident invoqué par le recourant est survenu après le 31 décembre 2016. Or, depuis le 1er janvier 2017, en cas de lésion corporelle figurant dans la liste de l'art. 6 al. 2 LAA – au nombre desquelles figurent les déchirures du ménisque (let. c) –, il y a désormais présomption que l’on est en présence d’une lésion semblable aux conséquences d’un accident, qui doit être prise en charge par l’assureur-accidents. Ce dernier ne peut se libérer de son obligation que s’il apporte la preuve que la lésion est manifestement due à l’usure ou à une maladie (Message du Conseil fédéral relatif à la modification de la loi fédérale sur l’assurance-accidents du 30 mai 2008, FF 2008 4893). Tel ne semble pas être le cas en l'espèce. Si le médecin d'arrondissement a évoqué un lien de causalité "au mieux possible", il n'a à aucun moment parlé</w:t>
      </w:r>
    </w:p>
    <w:p>
      <w:r>
        <w:t>A/960/2020 - 10/11 - d'usure manifeste. Dès lors, la question du bien-fondé de la décision du 3 janvier 2018 peut légitimement se poser, étant toutefois rappelé que si le juge peut, le cas échéant, confirmer une décision de révision rendue à tort pour le motif substitué que la décision de rente initiale était sans nul doute erronée et que sa rectification revêt une importance notable (ATF 125 V 369 consid. 2 et les arrêts cités), il ne saurait imposer à un assureur social de reconsidérer sa décision s'il s'y refuse. En effet, selon la jurisprudence, la reconsidération est une possibilité ouverte aux assureurs sociaux, qui ne sont pas tenus d'en faire usage (ATFA U 17/05 du 27 octobre 2006). Un refus d'entrer en matière sur une demande de reconsidération n'est ainsi pas susceptible de faire l'objet d'un recours devant le juge des assurances sociales (ATF 119 V 479 consid. 1b/cc, 117 V 12 consid. 2a). Cette jurisprudence reste applicable après l'entrée en vigueur de l'art. 53 al. 2 LPGA, qui n'ouvre ainsi pas droit pour l'assuré d'obtenir une reconsidération lorsque les conditions en sont remplies (cf. également arrêt S. du 20 septembre 2006 [I 61/04]).</w:t>
      </w:r>
    </w:p>
    <w:p>
      <w:r>
        <w:t>***</w:t>
      </w:r>
    </w:p>
    <w:p>
      <w:r>
        <w:t>A/960/2020 - 11/11 -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