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ATAS/1069/2014 vom 25. September 2014</w:t>
      </w:r>
    </w:p>
    <w:p>
      <w:r>
        <w:t>GE Cour de justice, 2014-09-25, FR</w:t>
      </w:r>
    </w:p>
    <w:p>
      <w:r>
        <w:rPr>
          <w:b/>
        </w:rPr>
        <w:t xml:space="preserve">Quelle: </w:t>
      </w:r>
      <w:r>
        <w:t>https://mcp.opencaselaw.ch/entscheid/ge_gerichte_ATAS_1069_2014</w:t>
      </w:r>
    </w:p>
    <w:p>
      <w:r>
        <w:t>FR: GE_GERICHTE ATAS/1069/2014 du 25 septembre 2014</w:t>
      </w:r>
    </w:p>
    <w:p>
      <w:r>
        <w:t>IT: GE_GERICHTE ATAS/1069/2014 del 25 settembre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Se pose en premier lieu la question de la recevabilité du recours, interjeté plus de 30 jours après sa notification, laquelle est cependant intervenue au mépris de l’élection de domicile signifiée par l’assuré. Ainsi que l’a admis l’intimé, la notification irrégulière d'une décision ne doit entraîner aucun préjudice pour les parties (art. 38 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w:t>
      </w:r>
    </w:p>
    <w:p>
      <w:r>
        <w:t>A/3038/2013 - 7/14 - Le Tribunal fédéral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C 168/00 du 13 février 2001 consid. 3c, résumé in RSAS 2002 p. 509; arrêt C 196/00 précité consid. 3a). Cette pratique a été confirmée récemment, à la lumière de la CEDH et de la LPGA (arrêt 9C_85/2011 du 17 janvier 2012 consid. 6.2, 6.3 et 6.8). En l’occurrence, le recours interjeté dans le délai prévu par la jurisprudence rappelée supra est recevable.</w:t>
      </w:r>
    </w:p>
    <w:p>
      <w:r>
        <w:rPr>
          <w:b/>
        </w:rPr>
        <w:t>E. 4</w:t>
      </w:r>
    </w:p>
    <w:p>
      <w:r>
        <w:t>Quant au fond, est litigieuse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w:t>
      </w:r>
    </w:p>
    <w:p>
      <w:r>
        <w:t>A/3038/2013 - 8/14 -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w:t>
      </w:r>
    </w:p>
    <w:p>
      <w:r>
        <w:t>A/3038/2013 - 9/14 -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le recourant conteste être capable d’exercer à plein temps une activité adaptée à son état et requiert la mise sur pied d’une expertise supplémentaire. Force est cependant de constater que les conclusions de l’expert rhumatologue mandaté par l’intimé sont motivées et convaincantes. Tout d'abord, le rapport d'examen du Dr C______ se fonde sur une anamnèse détaillée, un examen clinique du recourant et tient compte des plaintes rapportées par ce dernier. Il a été établi en pleine connaissance du dossier et ses conclusions, dûment motivées, ne laissent pas apparaître de contradictions. Il y a donc lieu de lui reconnaître pleine valeur probante, ce, d'autant plus que le médecin traitant n’apporte aucun élément objectif permettant de douter des considérations émises par le médecin examinateur, au demeurant titulaire d'une spécialisation en rhumatologie. Le Dr B______ se contente en effet de conclure à une capacité résiduelle de travail réduite à 50%, même dans une activité adaptée, sans motiver aucunement sa</w:t>
      </w:r>
    </w:p>
    <w:p>
      <w:r>
        <w:t>A/3038/2013 - 10/14 - position. On relèvera en particulier qu’il ne fait état d’aucun diagnostic qui aurait été ignoré par l’expert, pas plus qu’il n’énonce de limitation supplémentaire. D’ailleurs, lui-même concluait, dans son premier rapport de mai 2011, à une pleine capacité de travail dans une activité adaptée. Eu égard à ces éléments, il apparaît que la situation médicale a été suffisamment investiguée et qu’il y a lieu de suivre les conclusions de l’expert, en faveur d’une capacité de 100%, avec diminution de rendement de 20%, dans une activité adaptée telle que décrite. On ajoutera que le recourant ne saurait tirer argument du rapport des EPI pour mettre en doute ces conclusions. En effet, si ceux-ci ont effectivement conclu qu’une réinsertion dans le circuit économique normal était douteuse, ils ont motivé avant tout leur position par le comportement du recourant et non par son rendement, qui, précisément, a atteint celui de 80% envisagé par l’expert rhumatologue.</w:t>
      </w:r>
    </w:p>
    <w:p>
      <w:r>
        <w:rPr>
          <w:b/>
        </w:rPr>
        <w:t>E. 10</w:t>
      </w:r>
    </w:p>
    <w:p>
      <w:r>
        <w:t>Il convient à présent de se prononcer sur le calcul du taux d'invalidité effectué par l'OAI.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w:t>
      </w:r>
    </w:p>
    <w:p>
      <w:r>
        <w:t>A/3038/2013 - 11/14 -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recourant a travaillé de 2005 à 2011 comme bagagiste. Dans le but de déterminer sa rémunération au moment de l’ouverture éventuelle du droit aux prestations, soit en 2011, l’intimé a requis des informations de l’ancien employeur. Cette façon de faire est correcte et les renseignements obtenus pertinents, dans la mesure où rien ne permet de penser que, sans l’atteinte à la santé, le recourant aurait changé d’emploi. Le montant retenu par l’intimé à titre de revenu avant invalidité (CHF 60'866.-), diffère cependant sensiblement tant de celui indiqué par le dernier employeur (CHF 5'703.- par mois, soit CHF 68'436.- par an en 2011), que de celui ressortant du rassemblement des comptes individuels AVS du recourant (qui mentionne un revenu de CHF 65'055.- en 2009, plus proche de celui articulé par l’employeur deux ans plus tard). C’est donc le revenu mentionné par l’employeur comme étant celui réalisé en 2011 qui sera retenu, soit CHF 68'436.-. Quant au revenu d’invalide, en l’absence de reprise d’activité in casu, il convient de se référer aux salaires statistiques tels qu’ils découlent de l’Enquête suisse sur la structure des salaires éditée par l’Office fédéral de la statistique (ESS). Ainsi que cela a été dit supra, l’assuré pourrait exercer à plein temps une activité adaptée, c'est-à-dire n’impliquant ni port de charges, ni positions accroupie ou en porte-à- faux, ni escalade, ni position debout statique ou longs déplacements. L’intéressé a par ailleurs exercé par le passé dans différents domaines d’activité et dispose de bonnes connaissances linguistiques. Dès lors, au regard du large éventail d'activités simples et répétitives offertes par les secteurs de la production et des services, on</w:t>
      </w:r>
    </w:p>
    <w:p>
      <w:r>
        <w:t>A/3038/2013 - 12/14 - doit convenir qu'un marché du travail équilibré offre un nombre significatif de postes de travail légers et pouvant être occupés sans difficulté particulière par une personne atteinte de lombosciatalgies et d’une tendinobursite. Selon les données de l'ESS 2010, le revenu mensuel standardisé d'un homme exerçant une activité simple et répétitive s'élevait, tous domaines confondus, à CHF 4'525.- par mois, ce qui correspondait, en 2011, à un revenu de CHF 4'568.60. Ce salaire hypothétique doit être rectifié pour tenir compte du fait que les salaires bruts standardisés sont calculés sur la base d’un horaire de travail de 40 heures par semaine, soit une durée hebdomadaire inférieure à la moyenne usuelle dans les entreprises (41,7 heures en 2011). On obtient dès lors, pour un horaire de travail moyen de 41,7 heures (cf. ATF 126 V 81 consid. 7a), un salaire annuel brut, en 2011, de CHF 57'173.20, correspondant à un montant de CHF 45'722.60 pour un taux de 80%. En revanche, il n’y a pas lieu d’appliquer une réduction supplémentaire à ce montant dans la mesure où l’assuré est encore éloigné de l’âge auquel la jurisprudence considère qu’il rendrait une reprise d’activité rédhibitoire et où les limitations fonctionnelles ont déjà été prises en compte dans la fixation du taux d’activité (réduit à 80%). La comparaison des revenus ainsi déterminés conduit à un degré d’invalidité de 33%, insuffisant pour ouvrir droit à une rente d’invalidité. En conséquence, le recours est rejeté sur ce point.</w:t>
      </w:r>
    </w:p>
    <w:p>
      <w:r>
        <w:rPr>
          <w:b/>
        </w:rPr>
        <w:t>E. 11</w:t>
      </w:r>
    </w:p>
    <w:p>
      <w:r>
        <w:t>Reste à examiner si l’octroi de mesures professionnelles se justifierait.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force est de constater que le recourant, s'il remplit à l'évidence les conditions objectives mises à l'octroi d’une mesure professionnelle (nécessité d'un changement de profession, taux d'invalidité supérieur à 20%), ne présente pas l'aptitude subjective nécessaire. En effet, bien qu’il ait fait preuve de motivation durant ses stages et ait atteint les rendements espérés par l’expert rhumatologue, il</w:t>
      </w:r>
    </w:p>
    <w:p>
      <w:r>
        <w:t>A/3038/2013 - 13/14 - est resté centré sur ses atteintes et a, à de réitérées occasions, tout comme devant la Cour de céans, contesté pouvoir exercer la moindre activité. c) Dans de telles circonstances, il convient de considérer que la mise en œuvre de mesures professionnelles n'est vraisemblablement pas de nature à sauvegarder ou améliorer les capacités de gain du recourant. Cela étant, le recourant, à condition de faire preuve de la motivation requise, pourra, cas échéant, adresser à l’intimé une demande d’aide au placement telle que prévue à l’art. 18 al. 1 LAI. Cette disposition ouvre aux assurés présentant une incapacité de travail complète ou partielle le droit à un soutien actif dans la recherche d'un emploi approprié. Toute personne en incapacité de travail, mais apte à la réadaptation, doit pouvoir profiter du placement (FF 2005 4319).</w:t>
      </w:r>
    </w:p>
    <w:p>
      <w:r>
        <w:rPr>
          <w:b/>
        </w:rPr>
        <w:t>E. 12</w:t>
      </w:r>
    </w:p>
    <w:p>
      <w:r>
        <w:t>Eu égard aux considérations qui précèdent, le recours est rejeté.</w:t>
      </w:r>
    </w:p>
    <w:p>
      <w:r>
        <w:t>A/3038/2013 - 14/14 -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