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ATAS/1068/2013 vom 5. November 2013</w:t>
      </w:r>
    </w:p>
    <w:p>
      <w:r>
        <w:t>GE Cour de justice, 2013-11-05, FR</w:t>
      </w:r>
    </w:p>
    <w:p>
      <w:r>
        <w:rPr>
          <w:b/>
        </w:rPr>
        <w:t xml:space="preserve">Quelle: </w:t>
      </w:r>
      <w:r>
        <w:t>https://mcp.opencaselaw.ch/entscheid/ge_gerichte_ATAS_1068_2013</w:t>
      </w:r>
    </w:p>
    <w:p>
      <w:r>
        <w:t>FR: GE_GERICHTE ATAS/1068/2013 du 5 novembre 2013</w:t>
      </w:r>
    </w:p>
    <w:p>
      <w:r>
        <w:t>IT: GE_GERICHTE ATAS/1068/2013 del 5 novembre 2013</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A/1329/2013 - 11/20 -</w:t>
      </w:r>
    </w:p>
    <w:p>
      <w:r>
        <w:t>En l'espèce, l'objet du litige porte sur une demande de prestations du 21 mai 2010 et une décision de l'intimé du 14 mars 2013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applicables au cas d'espèce, eu égard au principe précité, que pour les faits survenus postérieurement à son entrée en vigueur.</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 583/2010 du 22 septembre 2011, consid. 4.1). Dans cette hypothèse et lorsque la demande a été</w:t>
      </w:r>
    </w:p>
    <w:p>
      <w:r>
        <w:t>A/1329/2013 - 12/20 -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A/1329/2013 - 13/20 -</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A/1329/2013 - 14/20 -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w:t>
      </w:r>
    </w:p>
    <w:p>
      <w:r>
        <w:t>A/1329/2013 - 15/20 -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9</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A/1329/2013 - 16/20 -</w:t>
      </w:r>
    </w:p>
    <w:p>
      <w:r>
        <w:t>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c)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10</w:t>
      </w:r>
    </w:p>
    <w:p>
      <w:r>
        <w:t>a) En l'espèce, l'intimé a fondé sa décision sur l'expertise du Dr F_________ du 22 septembre 2011 établissant une capacité de travail de la recourante de 80 % dès le 1er mai 2011. La recourante conteste le contenu et les conclusions de cette expertise. Elle explique que celle-ci ne s'est pas déroulée dans de bonnes conditions; entendue en audience, la recourante a indiqué que l'expert était prévenu, qu'il avait adopté un comportement empreint d'irrespect et de mépris à son égard, qu'elle n'avait pas été écoutée, qu'il avait cherché à la déstabiliser, à la coincer et avait mis en doute sa parole en lui collant une étiquette de fraudeuse, qu'enfin elle était sortie de cet entretien en larmes et démolie. Ces déclarations pourraient être de nature à remettre en cause la valeur probante de l'expertise. Cette question peut cependant rester ouverte dès lors que l'expertise du Dr F_________ doit de toute façon être écartée pour d'autres motifs. En effet, ce médecin estime qu'une reprise de travail à 80 % est possible dès mai 2011 en citant principalement le certificat du Dr A__________ du 8 juin 2011 attestant d'une capacité de travail de la recourante de 75 % dès le 1er mai 2011 alors même que l'expert avait au dossier le certificat subséquent du Dr A__________ du 10 juin 2011 selon lequel l'incapacité de travail n'était pas de 75 % mais de 50 %; or, l'expert n'évoque même pas cette contradiction. En présence de ces deux certificats, l'expert n'a pas discuté leur valeur probante et s'est contenté de retenir celui qui rejoignait le plus sa propre estimation; il n'a en particulier pas pris la peine de contacter le Dr A__________ pour que celui-ci précise l'incapacité de travail retenue et donner des explications sur les raisons de son changement d'appréciation. Or, l'incapacité de travail de la recourante est principalement fondée sur l'état de fatigue induit par les traitements du cancer; il apparait ainsi primordial de prendre en compte l'avis des spécialistes en oncologie pour estimer l'impact desdits traitements sur la capacité de travail de la recourante et, en cas de divergence avec l'estimation des spécialistes, de motiver celle-ci. Dans ces conditions, l'expertise du Dr F_________, lequel de surcroit n'est pas un spécialiste en oncologie, doit être écartée et une expertise judiciaire ordonnée.</w:t>
      </w:r>
    </w:p>
    <w:p>
      <w:r>
        <w:t>A/1329/2013 - 17/20 - b) L’intimé conteste le choix, au titre d’expert judiciaire, du Prof. I________ au motif que le Prof. O________ a travaillé aux HUG et que l’assurée y a été suivie, de sorte que l’experte, responsable du service du sein aux HUG, serait prévenue.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p. 109 et l'arrêt cité; arrêt 9C_519/2011 du 5 avril 2012 consid. 3.1).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125 II 541 consid. 4 p. 544). Le fait que l'expert a déjà eu à se prononcer au cours d'une procédure dans laquelle une des parties était impliquée n'exclut pas sa nomination en qualité d'expert (ATF 132 V 93 consid. 7.2.2 p. 110). La jurisprudence exige cependant que l'issue de la cause ne soit pas prédéterminée, mais qu'elle demeure au contraire indécise quant à la constatation des faits et à la résolution des questions juridiques (116 Ia 135 consid. 3b p. 139, 126 I 168 consid. 2a p. 169; Jacques Olivier Piguet, Le choix de l'expert et sa récusation, HAVE/REAS 2/2011 p. 133) (ATF du 6 juin 2013 9C 689/2012). Selon la jurisprudence,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(arrêts du Tribunal fédéral des assurances I 832/04 du 3 février 2006, consid. 2.3.1 et I 29/04 du 17 août 2004, consid. 2.2 et les références). En l’espèce, selon les renseignements donnés par le Prof. I________, celle-ci a succédé au Prof. A__________, leur collaboration aux HUG n’ayant durée que quatre mois. Elle n’a pas traité le cas de l’assurée durant ce laps de temps, laquelle a été suivie par le Prof. A__________. Le fait que le Prof. I________ a travaillé quelques mois dans le même service que le Prof. A__________ ne suffit pas, contrairement à l’avis de l’intimé, à faire douter de son impartialité, ce d’autant qu’elle possède le titre de responsable de l’unité d’onco-gynécologie médicale des HUG et directrice du centre du sein des HUG, et qu’on peut attendre d’un médecin bénéficiant de ce statut une réelle indépendance dans l’évaluation de l’état de santé de la recourante. Au surplus, il est à rappeler qu’il s’agit de se prononcer sur la capacité de travail de la recourante du 1er mai 2011 au 14 mars 2013 et qu’en tant</w:t>
      </w:r>
    </w:p>
    <w:p>
      <w:r>
        <w:t>A/1329/2013 - 18/20 - que spécialiste en oncogynécologie, le Prof. I________ détient des compétences particulières pour répondre à la mission d’expertise.</w:t>
      </w:r>
    </w:p>
    <w:p>
      <w:r>
        <w:rPr>
          <w:b/>
        </w:rPr>
        <w:t>E. 11</w:t>
      </w:r>
    </w:p>
    <w:p>
      <w:r>
        <w:t>Au vu de ce qui précède, la Cour de céans ordonnera une expertise judiciaire laquelle sera confiée au Prof. I________, médecin spécialiste FMH en oncologie, Centre du sein, Hôpitaux Universitaires du canton de Genève, boulevard de la Cluse 30, 1205 Genève, afin d'évaluer la capacité de travail de la recourante entre le 1er mai 2011 et la décision litigieuse du 14 mars 2013.</w:t>
      </w:r>
    </w:p>
    <w:p>
      <w:r>
        <w:t>A/1329/2013 - 19/20 - PAR CES MOTIFS, LA CHAMBRE DES ASSURANCES SOCIALES : Statuant Préparatoirement : 1. Ordonne une expertise médicale. La confie au Professeur I________. Dit que la mission d’expertise sera la suivante : a. Prendre connaissance du dossier de la cause. b. Prendre tous renseignements nécessaires auprès du Prof. A__________. c. Si nécessaire prendre encore tous renseignements auprès des autres médecins ayant traité ou examiné Mme L__________. d. Entendre Mme L__________. e. Compte tenu de l'affection dont a souffert Mme L__________ depuis 2009, comment la capacité de travail de celle-ci a-t-elle évolué ? En particulier, quelle était la capacité de travail de Mme L__________ dès le 1er mai 2011 jusqu'au 14 mars 2013 (date de la décision de l'OAI) ? En cas de capacité de travail restreinte quelles étaient les limitations fonctionnelles ? f. Etes-vous d'accord avec l'avis du Dr F_________ du 22 septembre 2011 ? En particulier avec les limitations fonctionnelles constatées et l'estimation d'une capacité de travail à 80 % depuis le 1er mai 2011 dans l'activité antérieure ? Si non, pourquoi ? g. Etes-vous d'accord avec l'avis du Dr E__________ du 23 avril 2013 ? Si non, pourquoi ? h. Etes-vous d'accord avec l'avis du Dr A__________ du 24 avril 2013, en particulier avec l'estimation d'une capacité de travail de 50 % depuis le 1er mai 2011 dans l'activité antérieure ? Si non, pourquoi ? i. Faire toutes autres observations ou suggestions utiles. 2. Réserve le sort des frais jusqu’à droit jugé au fond.</w:t>
      </w:r>
    </w:p>
    <w:p>
      <w:r>
        <w:t>La greffière</w:t>
      </w:r>
    </w:p>
    <w:p>
      <w:r>
        <w:t>Nancy BISIN</w:t>
      </w:r>
    </w:p>
    <w:p>
      <w:r>
        <w:t>La présidente</w:t>
      </w:r>
    </w:p>
    <w:p>
      <w:r>
        <w:t>Valérie MONTANI</w:t>
      </w:r>
    </w:p>
    <w:p>
      <w:r>
        <w:t>A/1329/2013 - 20/20 -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