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ATAS/1068/2011 vom 3. November 2011</w:t>
      </w:r>
    </w:p>
    <w:p>
      <w:r>
        <w:t>GE Cour de justice, 2011-11-03, FR</w:t>
      </w:r>
    </w:p>
    <w:p>
      <w:r>
        <w:rPr>
          <w:b/>
        </w:rPr>
        <w:t xml:space="preserve">Quelle: </w:t>
      </w:r>
      <w:r>
        <w:t>https://mcp.opencaselaw.ch/entscheid/ge_gerichte_ATAS_1068_2011</w:t>
      </w:r>
    </w:p>
    <w:p>
      <w:r>
        <w:t>FR: GE_GERICHTE ATAS/1068/2011 du 3 novembre 2011</w:t>
      </w:r>
    </w:p>
    <w:p>
      <w:r>
        <w:t>IT: GE_GERICHTE ATAS/1068/2011 del 3 novembre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V 467 consid. 1, 126 V 136 consid. 4b et les références). Les règles de procédure quant à elles s’appliquent sans réserve dès le jour de son entrée en vigueur (ATF 117 V 93 consid. 6b, 112 V 360 consid. 4a ; RAMA 1998 KV 37 p. 316 consid. 3b). La LPGA s’applique donc au cas d’espèce.</w:t>
      </w:r>
    </w:p>
    <w:p>
      <w:r>
        <w:t>A/1323/2011 - 4/6 -</w:t>
      </w:r>
    </w:p>
    <w:p>
      <w:r>
        <w:rPr>
          <w:b/>
        </w:rPr>
        <w:t>E. 3</w:t>
      </w:r>
    </w:p>
    <w:p>
      <w:r>
        <w:t>Interjeté dans les forme et délai prévus par la loi, le présent recours est recevable (art. 56 à 60 LPGA).</w:t>
      </w:r>
    </w:p>
    <w:p>
      <w:r>
        <w:rPr>
          <w:b/>
        </w:rPr>
        <w:t>E. 4</w:t>
      </w:r>
    </w:p>
    <w:p>
      <w:r>
        <w:t>Le litige porte sur la question de savoir si c’est à bon droit que l’intimé a prononcé une suspension du droit de la recourante à l’indemnité de chômage de quatre jours.</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 verwaltungsrecht [SBVR], Soziale Sicherheit, 2ème éd., Nos837 et 838 p. 2429ss; Boris RUBIN, Assurance-chômage, Droit fédéral, Survol des mesures cantonales, Procédure, 2ème éd., Zurich 2006, p. 388).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La durée de la suspension dans l’exercice du droit à l’indemnité est de 1 à 15 jours en cas de faute légère, de 16 à 30 jours en cas de faute de gravité moyenne et de 31 à 60 jours en cas de faute grave (art. 45 al. 2 OACI).</w:t>
      </w:r>
    </w:p>
    <w:p>
      <w:r>
        <w:t>A/1323/2011 - 5/6 -</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rPr>
          <w:b/>
        </w:rPr>
        <w:t>E. 6</w:t>
      </w:r>
    </w:p>
    <w:p>
      <w:r>
        <w:t>En l’espèce, la recourante a été informée le 16 novembre 2010 du fait qu’un terme serait mis à son contrat de travail avec effet au 31 décembre 2010, dont le terme a été reporté de deux mois. Il est établi qu'elle s'est livrée à quatre recherches d'emploi - voire cinq si l’on admet la démarche alléguée auprès de son employeur - durant le laps de temps dont elle disposait. En pareil cas, on peut estimer le nombre minimal de recherches d’emploi à effectuer à cinq par mois, eu égard aux circonstances et à l’emploi recherché. Or, la recourante n’en a précisément effectué que cinq - au maximum - alors qu’elle disposait d’un mois et demi pour ce faire. Cela apparait donc insuffisant, même s’il est vrai que la recourante a déployé des efforts certains. Les atermoiements du service des ressources humaines de son employeur alléguées par la recourante ne sont pas démontrées et quoi qu’il en soit pas susceptibles d’être prises en considération puisque non imputables à l’assurance-chômage. On relèvera que la suspension de quatre jours appliquée par l'ORP est comprise dans la moyenne prévue par la loi en cas de faute légère et correspond à ce que prévoit le SECO dans un tel cas (3 à 4 jours de suspension en cas d’efforts insuffisant et d’un délai de congé d’un mois), de sorte qu'il est impossible à la Cour de réduire la quotité de la sanction prononcée dans la mesure où cette dernière respecte ainsi le principe de proportionnalité. Le recours est donc rejeté.</w:t>
      </w:r>
    </w:p>
    <w:p>
      <w:r>
        <w:t>A/1323/2011 - 6/6 -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