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ATAS/1067/2024 vom 19. Dezember 2024</w:t>
      </w:r>
    </w:p>
    <w:p>
      <w:r>
        <w:t>GE Cour de justice, 2024-12-19, FR</w:t>
      </w:r>
    </w:p>
    <w:p>
      <w:r>
        <w:rPr>
          <w:b/>
        </w:rPr>
        <w:t xml:space="preserve">Quelle: </w:t>
      </w:r>
      <w:r>
        <w:t>https://mcp.opencaselaw.ch/entscheid/ge_gerichte_ATAS_1067_2024</w:t>
      </w:r>
    </w:p>
    <w:p>
      <w:r>
        <w:t>FR: GE_GERICHTE ATAS/1067/2024 du 19 décembre 2024</w:t>
      </w:r>
    </w:p>
    <w:p>
      <w:r>
        <w:t>IT: GE_GERICHTE ATAS/1067/2024 del 19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t>A/3713/2023 - 7/18 -</w:t>
      </w:r>
    </w:p>
    <w:p>
      <w:r>
        <w:rPr>
          <w:b/>
        </w:rPr>
        <w:t>E. 1.4</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L’objet du litige porte le droit de la recourante à une rente d’invalidité. Son statut de personne non active n’est pas contesté.</w:t>
      </w:r>
    </w:p>
    <w:p>
      <w:r>
        <w:rPr>
          <w:b/>
        </w:rPr>
        <w:t>E. 3.1</w:t>
      </w:r>
    </w:p>
    <w:p>
      <w:r>
        <w:t>Le 1er janvier 2022, les modifications de la LAI du 19 juin 2020 (développement continu de l’AI ; RO 2021 705) et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la décision querellée concerne un premier octroi de rente dont le droit – s’il était reconnu – naîtrait avant le 31 décembre 2021. En conséquence, les dispositions légales applicables seront citées, ci-après, dans leur ancienne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t>A/3713/2023 - 8/18 -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Pour les assurés qui accomplissent des travaux habituels à plein temps, l’invalidité est calculée en fonction de l’incapacité de l’assuré à accomplir ses travaux habituels (art. 28a al. 2 LAI).</w:t>
      </w:r>
    </w:p>
    <w:p>
      <w:r>
        <w:rPr>
          <w:b/>
        </w:rPr>
        <w:t>E. 4.3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w:t>
      </w:r>
    </w:p>
    <w:p>
      <w:r>
        <w:rPr>
          <w:b/>
        </w:rPr>
        <w:t>E. 4.3.1</w:t>
      </w:r>
    </w:p>
    <w:p>
      <w:r>
        <w:t>La reconnaissance de l’existence d’une atteinte à la santé psychique suppose la présence d’un diagnostic émanant d’un expert (psychiatre) et s’appuyant selon les règles de l’art sur les critères d’un système de classification reconnu, telle la classification internationale des maladies (ci-après : CIM) ou le DSM-IV (Diagnostic and Statiscal Manual ; ATF 143 V 409 consid. 4.5.2 ; 141 V 281 consid. 2.1 et 2.1.1 ; 130 V 396 consid. 5.3 et 6).</w:t>
      </w:r>
    </w:p>
    <w:p>
      <w:r>
        <w:rPr>
          <w:b/>
        </w:rPr>
        <w:t>E. 4.3.2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considéré qu'il se justifiait sous l'angle juridique, en l'état des connaissances médicales, d'appliquer par analogie les principes développés</w:t>
      </w:r>
    </w:p>
    <w:p>
      <w:r>
        <w:t>A/3713/2023 - 9/18 - par la jurisprudence en matière de troubles somatoformes douloureux à l'appréciation du caractère invalidant d'une fibromyalgie, vu les nombreux points communs entre ces troubles (ATF 132 V 65 consid. 4 p. 70 ss). Quand bien même le diagnostic de fibromyalgie était d'abord le fait d'un médecin rhumatologue, dès lors que les facteurs psychosomatiques avaient une influence décisive sur le développement d'une telle maladie, le concours d'un médecin spécialisé en psychiatrie était donc nécessaire pour en poser le diagnostic (ATF 132 V 65 consid. 4.3 p. 72 ; arrêt 9C_176/2018 du 16 août 2018 consid. 3.2.2). Une expertise interdisciplinaire tenant à la fois compte des aspects rhumatologiques et psychiques apparaissait donc la mesure pour établir de manière objective si l'assuré présentait un état douloureux d'une gravité telle que la mise en valeur de sa capacité de travail sur le marché du travail ne pouvait plus du tout ou seulement partiellement être exigible de sa part (ATF 132 V 65 consid. 4.3 ; arrêt 9C_176/2018 du 16 août 2018 consid. 3.2.2).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qu’en cas d’allégation de lourds handicaps malgré un environnement psycho-social intact (ATF 141 V 281 consid. 2.2.1 et 2.2.2 ; 132 V 65 consid. 4.2.2 ; arrêt du Tribunal fédéral 9C_16/2016 du 14 juin 2016 consid. 3.2).</w:t>
      </w:r>
    </w:p>
    <w:p>
      <w:r>
        <w:rPr>
          <w:b/>
        </w:rPr>
        <w:t>E. 4.3.3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et la référence).</w:t>
      </w:r>
    </w:p>
    <w:p>
      <w:r>
        <w:rPr>
          <w:b/>
        </w:rPr>
        <w:t>E. 4.3.4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w:t>
      </w:r>
    </w:p>
    <w:p>
      <w:r>
        <w:t>A/3713/2023 - 10/18 -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4.3.5</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5.1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w:t>
      </w:r>
    </w:p>
    <w:p>
      <w:r>
        <w:t>A/3713/2023 - 11/18 -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w:t>
      </w:r>
    </w:p>
    <w:p>
      <w:r>
        <w:t>A/3713/2023 - 12/18 -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6.2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7</w:t>
      </w:r>
    </w:p>
    <w:p>
      <w:r>
        <w:t>En l’espèce, et pour la première fois au cours de la procédure, la recourante avance l’argument que le rapport d’expertise ne saurait être considéré comme probant. Elle argue que, puisqu’elle est atteinte de fibromyalgie, il eût fallu que cette expertise comportât un volet psychologique et qu’elle soit menée en examinant les indicateurs posés par la jurisprudence, et demande en conséquence le renvoi à l’intimé pour instruction complémentaire en ce sens. En tant qu’elle reproche aux experts d’être sortis de leur domaine de compétence en concluant à l’inexistence d’une atteinte psychiatrique, la recourante ne peut être suivie. En effet, on rappellera que jamais le moindre diagnostic psychiatrique n’a été retenu par aucun des médecins qui suit la recourante. S’il est vrai que le Tribunal fédéral assimile la fibromyalgie au trouble somatoforme douloureux, ce qui a pour conséquence que les indicateurs doivent être examinés et que le concours d'un médecin spécialisé en psychiatrie est donc en principe nécessaire, il n’en demeure pas moins que – comme le reconnaît d’ailleurs le Tribunal fédéral – le diagnostic de fibromyalgie est d'abord le fait d'un médecin rhumatologue. Dans la mesure où une fibromyalgie a été reconnue dans le cas de la recourante, il est vrai qu’il aurait fallu, en principe, faire appel à un psychiatre et procéder à une évaluation selon la grille ordonnée par la jurisprudence. Cela étant, cette dernière admet que l’on y renonce pour des motifs de proportionnalité, si une telle appréciation selon la grille d’évaluation normative et structurée n’est pas nécessaire ou si elle est inappropriée. La Cour de céans est d’avis que tel est le cas en l’occurrence. En effet, la recourante est une personne qui se consacre totalement à ses travaux habituels. Dans une telle configuration, l’application d’une grille normative ayant pour objectif de déterminer si l'assuré présente un état douloureux d'une gravité</w:t>
      </w:r>
    </w:p>
    <w:p>
      <w:r>
        <w:t>A/3713/2023 - 13/18 - telle que la mise en valeur de sa capacité de travail sur le marché du travail ne peut plus du tout ou seulement partiellement être exigible de sa part n’apparaît pas fondamentalement indispensable. D’autant moins qu’il n’est pas allégué que l’assurée serait empêchée d’accomplir ses travaux habituels pour des raisons psychiques. Ce sont bien avant tout – et uniquement – ses limitations physiques qui sont mises en avant pour expliquer les empêchements qu’elle rencontre à assumer son ménage. Dans ces conditions, renvoyer la cause à l’intimé pour mettre en place une nouvelle expertise comportant un volet psychiatrique et examinant de manière plus détaillée les différents indicateurs jurisprudentiels apparaît disproportionné. D’autant que ces indicateurs ont été malgré tout évoqués par les experts, qui ont indiqué, au fil de leur analyse, qu’elle disposait de ressources et que ses plaintes étaient tout à fait cohérentes et plausibles dans le contexte arthrosique dégénératif cervico-lombaire de la tendinopathie de l’épaule droite et du syndrome douloureux chronique de type fibromyalgie confirmé. Eu égard aux considérations qui précèdent, il n’y a pas lieu de nier la valeur probante du rapport d’expertise, dont la recourante ne conteste d’ailleurs aucunement les conclusions, tant en ce qui concerne les diagnostics retenus (concordant avec ceux des médecins-traitants), que des limitations fonctionnelles énoncées.</w:t>
      </w:r>
    </w:p>
    <w:p>
      <w:r>
        <w:rPr>
          <w:b/>
        </w:rPr>
        <w:t>E. 8.1</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w:t>
      </w:r>
    </w:p>
    <w:p>
      <w:r>
        <w:t>A/3713/2023 - 14/18 -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rPr>
          <w:b/>
        </w:rPr>
        <w:t>E. 8.2</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in VSI 2003 p. 221 ; arrêts du Tribunal fédéral 9C_625/2017 du 26 mars 2018 consid. 6.2 et I 733/06 du 16 juillet 2007).</w:t>
      </w:r>
    </w:p>
    <w:p>
      <w:r>
        <w:rPr>
          <w:b/>
        </w:rPr>
        <w:t>E. 8.3</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w:t>
      </w:r>
    </w:p>
    <w:p>
      <w:r>
        <w:t>A/3713/2023 - 15/18 -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 Le Tribunal fédéral a récemment confirmé qu'il n'y a pas de motif de revenir sur le principe de l'obligation de diminuer le dommage tel que dégagé par la jurisprudence (arrêt du Tribunal fédéral 9C_248/2022 du 25 avril 2023 consid. 5.3 et les références).</w:t>
      </w:r>
    </w:p>
    <w:p>
      <w:r>
        <w:rPr>
          <w:b/>
        </w:rPr>
        <w:t>E. 8.4</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w:t>
      </w:r>
    </w:p>
    <w:p>
      <w:r>
        <w:rPr>
          <w:b/>
        </w:rPr>
        <w:t>E. 9</w:t>
      </w:r>
    </w:p>
    <w:p>
      <w:r>
        <w:t>En l’espèce, la recourante conteste le degré d’empêchement ressortant de l’enquête ménagère. En premier lieu, elle argue qu’il serait totalement incohérent de lui reconnaître une capacité réduite seulement de 43% à assumer son ménage, alors même que les experts ont reconnu sa totale incapacité à exercer une activité de femme de ménage professionnelle, qu’elle considère comme « similaire ». Elle en tire la</w:t>
      </w:r>
    </w:p>
    <w:p>
      <w:r>
        <w:t>A/3713/2023 - 16/18 - conclusion que l’enquêtrice n’aurait pas réellement tenu compte de ses limitations. À l’instar de l’intimé, on rappellera à la recourante que l’expertise concluait à sa totale incapacité à exercer une activité de femme de ménage sur le marché du travail, c’est-à-dire dans un contexte professionnel. Une telle activité, professionnelle, accomplie à raison de plusieurs heures par jour, pouvant impliquer de multiplier les tâches lourdes durant une même journée et soumise à des exigences de rendement, ne saurait être comparée aux travaux effectués dans le ménage privé, où les tâches légères cohabitent avec les tâches plus lourdes, où l’assurée n’est soumise à aucun impératif de temps ou de rendement, où elle peut faire appel à l’aide de ses proches et où il lui est loisible de fractionner et répartir les tâches comme bon lui semble, en fonction de son état. Il est également exigible de sa part, compte tenu de son obligation de réduire le dommage, qu’elle s’équipe d’appareils et de moyens auxiliaires pour l’aider (corbeille à linge à roulettes, lave-vaisselle, robot aspirateur, etc.) et adopte des méthodes de travail appropriées à ses limitations. Il est dès lors justifié de faire une différence selon que l’on examine les atteintes à la santé dans le contexte d’une activité professionnelle ou dans celui des tâches ménagères exercées dans son propre foyer. La recourante ne saurait dès lors tirer argument du rapport d’expertise pour s’écarter des conclusions de l’enquête ménagère. D’autant qu’elle a spontanément admis, lors de l’expertise, qu’elle parvenait à effectuer certaines tâches à son rythme, parfois avec l’aide de son mari. Qui plus est, et contrairement à ce qu’allègue la recourante, l’enquête tient compte des limitations fonctionnelles telles que retenues par le SMR (éviter de surcharger le rachis, de porter des charges de plus de 5 à 10 kg de façon répétée, de travailler bras au-dessus de l’horizontale, de monter ou descendre des escaliers, de marcher sur terrain accidenté et nécessité de pouvoir alterner les positions) et les mentionne d’ailleurs expressément. Enfin, on remarquera que la recourante n’allègue pas en quoi les indications de l’enquêtrice concernant chaque tâche seraient erronées ni en quoi elles seraient contraires aux indications qu’elle a données lorsqu’elle a été auditionnée. En second lieu, la recourante argue qu’il ne serait pas raisonnable d’exiger de son mari une aide de 29.1%. À cet égard, elle fait remarquer qu’en 2019, une aide de 30% avait déjà été reconnue comme exigible, alors qu’il y avait trois personnes susceptibles de l’aider. On ne saurait cependant comparer tout simplement les pourcentages, comme le fait la recourante. C’est faire fi du fait qu’entre 2019 et 2023, la situation a beaucoup évolué : la cellule familiale et le cercle des personnes pouvant l’aider a certes diminué, mais l’ampleur de la tâche également, d’autant que, dans l’intervalle, le coupe a déménagé dans un logis plus petit. Les 30% d’aide retenus en 2019 s’appliquaient à trois personnes, mais aussi à un ménage requérant</w:t>
      </w:r>
    </w:p>
    <w:p>
      <w:r>
        <w:t>A/3713/2023 - 17/18 - environ 36 heures de travail par semaine. Le taux de 30% retenu en 2023 ne concerne plus que l’époux de la recourante, mais la tenue de leur ménage ne requiert plus que 21 heures par semaine environ. L’aide exigible de l’époux de la recourante correspond donc à environ 6.13 heures par semaine, soit moins d’une heure par jour, ce qui n’apparaît pas excessif, même en tenant compte de l’atteinte à sa propre santé, dûment rappelée par l’enquêtrice. D’ailleurs, lors de l’enquête, la recourante a elle-même convenu que son époux l’aidait à préparer les repas, à passer l’aspirateur, à changer les draps, à faire les courses, à faire la lessive et à plier les grandes pièces de linge. Le taux de 29.1% retenu à titre d’aide exigible de l’époux de l’assurée n’apparaît ainsi pas critiquable. Pour le surplus, l’enquête ménagère tient compte des déclarations de l’assurée, des limitations fonctionnelles retenues par le SMR, des adaptations possibles et de l’obligation de réduire le dommage. La recourante ne démontre pas en quoi les conclusions du rapport ne seraient pas plausibles, insuffisamment motivées, ni quels éléments n’auraient pas été pris en considération s’agissant de ses diverses limitations. Le seul élément qu’elle soulève à ce titre – le fait que l’on ne saurait tenir compte de l’aide apportée par sa belle-fille pour l’activité repasser/plier le linge, puisqu’elle ne partage pas son logement –, ne suffit pas à nier la valeur probante de l’expertise. D’autant que l’enquêtrice n’a fait là que retranscrire les indications de l’intéressée, sans pour autant, forcément, en tenir compte dans la pondération.</w:t>
      </w:r>
    </w:p>
    <w:p>
      <w:r>
        <w:rPr>
          <w:b/>
        </w:rPr>
        <w:t>E. 10</w:t>
      </w:r>
    </w:p>
    <w:p>
      <w:r>
        <w:t>Eu égard aux considérations qui précèdent, c’est à juste titre que l’intimé a nié à la recourante le droit à une rente, faute de degré d’invalidité suffisant. Le recours est rejeté.</w:t>
      </w:r>
    </w:p>
    <w:p>
      <w:r>
        <w:rPr>
          <w:b/>
        </w:rPr>
        <w:t>E. 11</w:t>
      </w:r>
    </w:p>
    <w:p>
      <w:r>
        <w:t>Bien que la procédure ne soit pas gratuite en matière d’assurance-invalidité (cf. art. 69 al. 1bis LAI), il y a lieu en l’espèce de renoncer à la perception d’un émolument, la recourante étant au bénéfice de l’assistance juridique (art. 12 al. 1 du règlement sur les frais, émoluments et indemnités en procédure administrative du 30 juillet 1986 – RFPA – E 5 10.03).</w:t>
      </w:r>
    </w:p>
    <w:p>
      <w:r>
        <w:t>***</w:t>
      </w:r>
    </w:p>
    <w:p>
      <w:r>
        <w:t>A/3713/2023 - 18/18 -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