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ATAS/1067/2020 vom 12. November 2020</w:t>
      </w:r>
    </w:p>
    <w:p>
      <w:r>
        <w:t>GE Cour de justice, 2020-11-12, FR</w:t>
      </w:r>
    </w:p>
    <w:p>
      <w:r>
        <w:rPr>
          <w:b/>
        </w:rPr>
        <w:t xml:space="preserve">Quelle: </w:t>
      </w:r>
      <w:r>
        <w:t>https://mcp.opencaselaw.ch/entscheid/ge_gerichte_ATAS_1067_2020</w:t>
      </w:r>
    </w:p>
    <w:p>
      <w:r>
        <w:t>FR: GE_GERICHTE ATAS/1067/2020 du 12 novembre 2020</w:t>
      </w:r>
    </w:p>
    <w:p>
      <w:r>
        <w:t>IT: GE_GERICHTE ATAS/1067/2020 del 12 novembre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A/3358/2019 - 16/29 -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La modification du 25 septembre 2015 de la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 après dans leur teneur en vigueur depuis le 1er janvier 2017.</w:t>
      </w:r>
    </w:p>
    <w:p>
      <w:r>
        <w:rPr>
          <w:b/>
        </w:rPr>
        <w:t>E. 4</w:t>
      </w:r>
    </w:p>
    <w:p>
      <w:r>
        <w:t>Le délai de recours est de trente jours (art. 56 LPGA ; art. 62 al. 1 de la loi sur la procédure administrative du 12 septembre 1985 [LPA - E 5 10]). Les délais en jours ou en mois fixés par la loi ou par l’autorité ne courent pas du 15 juillet au 15 août inclusivement (art. 38 al. 4 let. b LPGA). Compte tenu de cette suspension, le recours du 13 septembre 2019 contre la décision sur opposition du 7 août 2019 est recevable.</w:t>
      </w:r>
    </w:p>
    <w:p>
      <w:r>
        <w:rPr>
          <w:b/>
        </w:rPr>
        <w:t>E. 5</w:t>
      </w:r>
    </w:p>
    <w:p>
      <w:r>
        <w:t>Le litige porte sur le droit aux prestations de la recourante au-delà du 8 avril 2017, singulièrement sur la question de savoir si les troubles présentés après cette date sont en lien de causalité avec l’accident du 14 janvier 2017. Subsidiairement, il porte sur le devoir de l’intimée de prendre en charge les atteintes après le 8 avril 2017, à titre de rechute ou de séquelles tardives de l’événement du 31 janvier 2013, voire de celui de février 2011 ou encore de 1998.</w:t>
      </w:r>
    </w:p>
    <w:p>
      <w:r>
        <w:rPr>
          <w:b/>
        </w:rPr>
        <w:t>E. 6</w:t>
      </w:r>
    </w:p>
    <w:p>
      <w:r>
        <w:t>a. Selon l'art. 6 al. 1 LAA, les prestations d'assurance sont allouées en cas d'accident professionnel, d'accident non professionnel et de maladie professionnelle. Conformément à l'art. 4 LPGA, est réputée accident toute atteinte dommageable, soudaine et involontaire, portée au corps humain par une cause extérieure extraordinaire qui compromet la santé physique, mentale ou psychique ou qui entraîne la mort. b.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w:t>
      </w:r>
    </w:p>
    <w:p>
      <w:r>
        <w:t>A/3358/2019 - 17/29 -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c.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lien de causalité naturelle est réalisé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w:t>
      </w:r>
    </w:p>
    <w:p>
      <w:r>
        <w:t>A/3358/2019 - 18/29 -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d.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a. Selon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w:t>
      </w:r>
    </w:p>
    <w:p>
      <w:r>
        <w:t>A/3358/2019 - 19/29 -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w:t>
      </w:r>
    </w:p>
    <w:p>
      <w:r>
        <w:t>A/3358/2019 - 20/29 -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 Ainsi, la présomption légale du droit aux prestations en cas de diagnostic figurant dans la liste de l'art. 6 al. 2 LAA ne peut être renversée par l'assureur-accidents que s'il démontre au degré de la vraisemblance prépondérante que l'atteinte corporelle est due de manière prépondérante à l'usure ou à une maladie. La notion de lésions corporelles qui sont dues de manière prépondérante à l'usure ou à la maladie au sens de l'art. 6 al. 2 LAA doit être comprise comme étant dues à plus de 50% à l'usure ou à la maladie. S'il est établi au degré la vraisemblance prépondérante que, parmi les causes concurrentes des lésions corporelles énumérées à l'art. 6 al. 2 LAA, l'état dégénératif ou maladif est prépondérant (à plus de 50%), l'assureur n'intervient pas (ou plus) bien que l'accident soit (encore) en partie à l'origine de l'atteinte à la santé (ATAS/747/2019 du 22 août 2019).</w:t>
      </w:r>
    </w:p>
    <w:p>
      <w:r>
        <w:rPr>
          <w:b/>
        </w:rPr>
        <w:t>E. 8</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w:t>
      </w:r>
    </w:p>
    <w:p>
      <w:r>
        <w:t>A/3358/2019 - 21/29 -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A/3358/2019 - 22/29 -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A/3358/2019 - 23/29 - assurances sociales, un principe selon lequel l’administration ou le juge devrait statuer, dans le doute, en faveur de l’assuré (ATF 126 V 319 consid. 5a).</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a. En l’espèce, par décision du 9 janvier 2018, confirmée sur opposition le 7 août 2019, l'intimée a mis fin à ses prestations avec effet au 8 avril 2017, refusant ainsi de prendre en charge l'intervention du 12 mai 2017. Elle a donc reconnu la survenance d’un accident au sens de l’art. 4 LPGA et pris en charge les prestations de soins consécutives à cet événement jusqu’au retour au statu quo sine, fixé au 8 avril 2017. En d’autres termes, elle a considéré que le sinistre assuré avait uniquement causé une aggravation passagère d’un état antérieur et que les troubles qui subsistaient au-delà de cette date n’étaient plus dus à l’accident du</w:t>
      </w:r>
    </w:p>
    <w:p>
      <w:r>
        <w:rPr>
          <w:b/>
        </w:rPr>
        <w:t>E. 14</w:t>
      </w:r>
    </w:p>
    <w:p>
      <w:r>
        <w:t>a. En ce qui concerne la rupture ligamentaire, les avis des médecins-conseils et des médecins-traitants convergent. En effet, le Dr G______ a conclu que cette atteinte devait être attribuée à l’opération de 1998 et à l’incident de 2011 (rapport du 27 novembre 2018). Et le Dr J______ a rappelé que le ligament croisé antérieur était insuffisant depuis que la plastie de 1998 s’était rompue en 2011 (rapport du 26 novembre 2019). De même, le Dr H______ a noté que l’IRM de mars 2017 révélait une lésion ancienne et difficile à dater. Il a estimé que cette rupture était plutôt liée à un ancien accident, en particulier une probable déchirure partielle en 2011 (rapport du</w:t>
      </w:r>
    </w:p>
    <w:p>
      <w:r>
        <w:rPr>
          <w:b/>
        </w:rPr>
        <w:t>E. 19</w:t>
      </w:r>
    </w:p>
    <w:p>
      <w:r>
        <w:t>La recourante obtenant gain de cause, une indemnité de CHF 1'600.- lui sera accordée à titre de participation à ses frais et dépens (art. 61 let. g LPGA ; art. 6 du règlement sur les frais, émoluments et indemnités en matière administrative du 30 juillet 1986 [RFPA - E 5 10.03]).</w:t>
      </w:r>
    </w:p>
    <w:p>
      <w:r>
        <w:rPr>
          <w:b/>
        </w:rPr>
        <w:t>E. 20</w:t>
      </w:r>
    </w:p>
    <w:p>
      <w:r>
        <w:t>Pour le surplus, la procédure est gratuite (art. 61 let. a LPGA).</w:t>
      </w:r>
    </w:p>
    <w:p>
      <w:r>
        <w:t>A/3358/2019 - 29/29 -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