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ATAS/1067/2014 vom 25. September 2014</w:t>
      </w:r>
    </w:p>
    <w:p>
      <w:r>
        <w:t>GE Cour de justice, 2014-09-25, FR</w:t>
      </w:r>
    </w:p>
    <w:p>
      <w:r>
        <w:rPr>
          <w:b/>
        </w:rPr>
        <w:t xml:space="preserve">Quelle: </w:t>
      </w:r>
      <w:r>
        <w:t>https://mcp.opencaselaw.ch/entscheid/ge_gerichte_ATAS_1067_2014</w:t>
      </w:r>
    </w:p>
    <w:p>
      <w:r>
        <w:t>FR: GE_GERICHTE ATAS/1067/2014 du 25 septembre 2014</w:t>
      </w:r>
    </w:p>
    <w:p>
      <w:r>
        <w:t>IT: GE_GERICHTE ATAS/1067/2014 del 25 settembre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t>A/586/2013 - 8/15 -</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t>A/586/2013 - 9/15 -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t>A/586/2013 - 10/15 -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En l’espèce, le recourant conteste disposer d’une capacité de travail de 100% dans une activité adaptée. Il reproche à l’intimé de s’être uniquement basé sur l’examen du médecin de la SUVA alors que ce dernier a souligné ne s’être prononcé qu’au regard de l’atteinte à son épaule à l’exclusion de celles concernant ses cervicales et son état psychique. Or, ont été mises en évidence : une dégénérescence discale C6- C7 et C7-D1, une protrusion discale ostéophytaire C6-C7 avec compression de la racine C7 et une uncarthrose avec rétrécissement sévère du canal radiculaire gauche. Il invoque les avis de ses médecins traitants. Selon lui, son manque de motivation lors de l’observation par les EPI s’expliquerait par son état psychique, d’une part, par l’aspect « humiliant » de l’activité qui lui avait été confiée (visser machinalement plusieurs centaines de boulons), d’autre part.</w:t>
      </w:r>
    </w:p>
    <w:p>
      <w:r>
        <w:t>A/586/2013 - 11/15 - L’intimé soutient quant à lui que la capacité de travail a été déterminée sur la base d’une étude approfondie du dossier et non pas seulement sur les rapports médicaux de la SUVA, comme le prétend le recourant. En l’occurrence, force est de constater que tous les médecins qui se sont prononcés - à l’exception du Dr E_____ concluent à une pleine capacité de travail de l’assuré dans une activité adaptée. Si le Dr B______ s’est certes exprimé eu égard aux seules atteintes de l’épaule, tel n’est pas le cas du Dr D_____, qui a préconisé une reconversion professionnelle. Quant au Dr E_____, s’il a certes évoqué les problèmes cervicaux et lombaires de son patient, il n’a jamais prétendu que ceux-ci entraînaient une incapacité totale à exercer la moindre activité lucrative. Entendu par la Cour de céans, il a expliqué que cela se traduisait simplement par des limitations fonctionnelles déjà prises en compte par les autres médecins (éviter le port de charge et les mouvements répétitifs). Enfin, les problèmes psychiques invoqués par le recourant ont été pour le moins minimisés tant par la Dresse G_____ que par le Dr H______, tous deux ayant souligné une majoration des symptômes physiques et psychologiques pour raisons psychiques et écarté la moindre incapacité de travail de ce fait. Ces constatations médicales sont d’ailleurs corroborées par les conclusions des EPI, lesquels ont estimé qu’une reconversion de l’assuré était possible dans le domaine de la petite serrurerie légère, des activités industrielles légères ou en tant que chauffeur-livreur de petits paquets, par exemple. On relèvera à cet égard que les imageries ne permettent pas d’expliquer objectivement les rendements constatés lors du stage, pas plus que l’état psychique du recourant - dont ses psychiatres traitants ont exclu tout impact sur sa capacité de travail. Eu égard aux considérations qui précèdent, il faut convenir avec l’intimé que le recourant dispose d’une pleine capacité à exercer une activité lucrative légère et adaptée à ses limitations.</w:t>
      </w:r>
    </w:p>
    <w:p>
      <w:r>
        <w:rPr>
          <w:b/>
        </w:rPr>
        <w:t>E. 10</w:t>
      </w:r>
    </w:p>
    <w:p>
      <w:r>
        <w:t>Il convient à présent de se prononcer sur le calcul du taux d'invalidité effectué par l'OAI.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w:t>
      </w:r>
    </w:p>
    <w:p>
      <w:r>
        <w:t>A/586/2013 - 12/15 -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recourant soutient que le revenu sans invalidité retenu par l’OAI serait inférieur à la réalité. Il affirme qu’en bonne santé, il aurait réalisé un revenu de CHF 5'600.- bruts par mois, soit CHF 67'200.- par an. Ce à quoi l’intimé répond en faisant remarquer qu’au vu du rassemblement de ses CI, le recourant n’a jamais réalisé un tel revenu. Du rassemblement des comptes individuels AVS de l’assuré, il ressort qu’il a bénéficié d’indemnités de l’assurance-chômage de 1999 à 2006. Le revenu le plus élevé qu’il ait réalisé depuis son arrivée en Suisse est celui de CHF 57'620.-, en 2000. On est ainsi loin du montant de CHF 67'200.- allégué par le recourant.</w:t>
      </w:r>
    </w:p>
    <w:p>
      <w:r>
        <w:t>A/586/2013 - 13/15 - Son dernier employeur a adressé à l’OAI un formulaire dont il ressort que l’assuré a travaillé du 29 août au 1er décembre 2006 en tant que monteur en chauffage. Son salaire s’est élevé à CHF 5'250.- bruts en septembre, à CHF 1'792.- bruts en octobre et à CHF 5'815.- bruts en novembre 2006. Eu égard aux éléments ressortant du dossier, il apparaît que les variations de salaire sont telles que c’est à juste titre que l’intimé s’est basé sur les statistiques pour déterminer le revenu avant invalidité. Le montant de CHF 60'226.- ainsi fixé n’apparaît pas critiquable. Quant au revenu d’invalide, en l’absence de reprise d’activité in casu, il convient également de se référer aux salaires statistiques tels qu’ils découlent de l’Enquête suisse sur la structure des salaires éditée par l’Office fédéral de la statistique (ESS). Ainsi que cela a été dit supra, l’assuré pourrait exercer à plein temps une activité adaptée, c'est-à-dire n’impliquant pas de port de charges, permettant d’alterner les positions et d’éviter certains mouvements des bras. Au regard du large éventail d'activités simples et répétitives offertes par les secteurs de la production et des services, on doit convenir qu'un marché du travail équilibré offre un nombre significatif de postes de travail légers n'exigeant ni port de charges lourdes, ni travail en position bras levés et pouvant être occupés sans difficulté particulière par une personne atteinte d'une affection de l’épaule. Selon les données de l'ESS 2006, le revenu mensuel standardisé d'un homme exerçant une activité simple et répétitive s'élevait, tous domaines confondus, à CHF 4'732.- par mois (valeur médiane). Ce salaire hypothétique doit être rectifié pour tenir compte du fait que les salaires bruts standardisés sont calculés sur la base d’un horaire de travail de 40 heures par semaine, soit une durée hebdomadaire inférieure à la moyenne usuelle dans les entreprises (41,7 heures). On obtient dès lors, pour un horaire de travail moyen de 41,7 heures (cf. ATF 126 V 81 consid. 7a), un salaire annuel brut, en 2006, de CHF 59'197.30. L’assuré fait valoir que la réduction supplémentaire de 15% appliquée à ce montant serait « largement insuffisante » eu égard aux circonstances, notamment le fait qu’il était âgé de 50 ans au moment de l’ouverture du droit, qu’il soit étranger, qu’il ne lise pas le français, qu’il soit quasiment sans formation et qu’il ait toujours exercé la même activité. Selon lui une réduction de 20% au minimum se justifierait.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w:t>
      </w:r>
    </w:p>
    <w:p>
      <w:r>
        <w:t>A/586/2013 - 14/15 - Une déduction globale maximale de 25 %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On ne saurait donc s'en écarter que si elle a été fixée en retenant des critères inappropriés, en ne tenant pas compte de circonstances pertinentes, en ne procédant pas à un examen complet des circonstances pertinentes ou en n'usant pas de critères objectifs (cf. ATF 130 III 176 consid. 1.2 p. 180). S’agissant du fait que le recourant est de nationalité étrangère, il est vrai que les étrangers gagnent parfois moins que la moyenne de tous les travailleurs (étrangers et suisses ; cf. tableau A 12 ESS 1996 ; VSI 2000 consid. 2b p. 85). Cependant, la déduction fondée sur la nationalité apparaît déjà problématique parce que les salaires ressortant des statistiques ont été arrêtés sur la base des revenus de la population résidente, aussi bien suisse qu'étrangère, de sorte que, pour les assurés suisses, une majoration devrait être opérée sur les salaires ressortant des statistiques. Par ailleurs, le Tribunal fédéral a constaté qu'il n'était pas exact d'affirmer que la totalité des étrangers gagnait moins que l'ensemble des Suisses et des étrangers réunis ; il peut exister des différences sensibles selon la catégorie des étrangers et le niveau des exigences (VSI 2000 consid. 5a/cc p. 320). La nationalité étrangère et la catégorie d’autorisation de séjour ne constituent ainsi pas systématiquement un motif de réduction. Il n’en va ainsi que lorsque l’assuré est réellement prétérité en raison de ces éléments. Ce n’est pas le cas d’un assuré au bénéfice d’une expérience salariée en Suisse de plusieurs années, comme le recourant. Quant au manque de formation professionnelle, il en a déjà été tenu compte dans le choix d’activité statistique et le niveau de qualification exigé. Par ailleurs, les limitations fonctionnelles ne présentent pas de spécificités telles qu’il y aurait lieu d’en tenir compte au niveau de la déduction sur le salaire statistique. Enfin, l’âge de l’assuré n’atteint pas encore le seuil fixé par la jurisprudence pour être considéré comme constituant un obstacle rédhibitoire à son engagement. Dans ces conditions, il apparaît que la réduction supplémentaire de 15% appliquée par l’intimé n’apparaît pas critiquable non plus, de sorte que le degré d’invalidité - 15% - apparaît insuffisant pour ouvrir droit à une rente. Eu égard aux considérations qui précèdent, le recours est rejeté. PAR CES MOTIFS, LA CHAMBRE DES ASSURANCES SOCIALES :</w:t>
      </w:r>
    </w:p>
    <w:p>
      <w:r>
        <w:t>A/586/2013 - 15/15 -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