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ATAS/1065/2019 vom 19. November 2019</w:t>
      </w:r>
    </w:p>
    <w:p>
      <w:r>
        <w:t>GE Cour de justice, 2019-11-19, FR</w:t>
      </w:r>
    </w:p>
    <w:p>
      <w:r>
        <w:rPr>
          <w:b/>
        </w:rPr>
        <w:t xml:space="preserve">Quelle: </w:t>
      </w:r>
      <w:r>
        <w:t>https://mcp.opencaselaw.ch/entscheid/ge_gerichte_ATAS_1065_2019</w:t>
      </w:r>
    </w:p>
    <w:p>
      <w:r>
        <w:t>FR: GE_GERICHTE ATAS/1065/2019 du 19 novembre 2019</w:t>
      </w:r>
    </w:p>
    <w:p>
      <w:r>
        <w:t>IT: GE_GERICHTE ATAS/1065/2019 del 19 novembre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prévus par la loi (art. 56ss LPGA), le recours est recevable.</w:t>
      </w:r>
    </w:p>
    <w:p>
      <w:r>
        <w:rPr>
          <w:b/>
        </w:rPr>
        <w:t>E. 3</w:t>
      </w:r>
    </w:p>
    <w:p>
      <w:r>
        <w:t>Le litige porte sur le droit du recourant à des prestations en cas d’accident au-delà du 5 avril 2017.</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w:t>
      </w:r>
    </w:p>
    <w:p>
      <w:r>
        <w:rPr>
          <w:b/>
        </w:rPr>
        <w:t>E. 5</w:t>
      </w:r>
    </w:p>
    <w:p>
      <w:r>
        <w:t>Pour pouvoir trancher le droit aux prestations d’un assuré, l'administration ou l'instance de recours a besoin de documents que le médecin ou d'autres spécialistes</w:t>
      </w:r>
    </w:p>
    <w:p>
      <w:r>
        <w:t>A/1873/2019 - 11/13 -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w:t>
      </w:r>
    </w:p>
    <w:p>
      <w:r>
        <w:rPr>
          <w:b/>
        </w:rPr>
        <w:t>E. 6</w:t>
      </w:r>
    </w:p>
    <w:p>
      <w:r>
        <w:t>Dans son arrêt du 20 novembre 2018, la chambre de céans a exposé les motifs pour lesquels les rapports médicaux alors versés au dossier ne suffisaient pas à démontrer ou exclure au degré de vraisemblance prépondérante l’existence d’un lien de causalité entre les troubles postérieurs au 5 avril 2017 et les événements de décembre 2014 et octobre 2016. Après avoir rappelé qu’il convenait d'ordonner une expertise par un médecin externe à l’assurance si des doutes, mêmes faibles, subsistaient quant à la fiabilité et à la pertinence des constatations médicales effectuées à l'interne (ATF 135 V 465 consid. 4), elle a renvoyé la cause à l’intimée, qu’elle a enjointe de mettre en œuvre une telle mesure.</w:t>
      </w:r>
    </w:p>
    <w:p>
      <w:r>
        <w:t>A/1873/2019 - 12/13 - Or, nonobstant ce qui précède, l’intimée s’est contentée d’un nouvel avis de la Dresse I______. Il faut ici souligner que dans le cas où un arrêt de renvoi est rendu, ses considérants lient aussi bien l'autorité de renvoi que le juge, qui ne saurait revenir sur sa décision à l'occasion d'un recours subséquent (arrêt du Tribunal fédéral 9C_407/2008 du 6 avril 2009 consid. 1.1). Pour ce motif déjà, la décision de l’intimée – prise sur la base du seul avis nouvellement rendu par la Dresse I______ – n’est pas conforme au droit. En outre, sur le fond, l’avis du 19 février 2019 ne suffit pas à trancher le litige. En premier lieu, la Dresse I______ n’évoque même pas l’accident de décembre 2014. Après quelques généralités quant au développement et au traitement de l’arthrose, elle se borne à affirmer de manière péremptoire et pour le moins succincte que l’instabilité articulaire est la conséquence de l’arthrose, sans exposer si d’autres atteintes peuvent être à l’origine d’une telle symptomatologie. Quant à la subluxation – dont on rappellera qu’elle constituait une des indications opératoires –, ce médecin se contente d’affirmer qu’il s’agit « de l’expression » de la rhizarthrose, sans autre explication. Il semble par ailleurs que l’intimée considère que l’instabilité et la subluxation ne sont qu’une seule et même atteinte, si l’on se réfère à sa décision sur opposition du 3 avril 2019 et à ses écritures subséquentes. Or, ce point de vue paraît erroné à la lecture des rapports des Drs E______ et I______. Eu égard à son absence de motivation, le nouvel avis de la Dresse I______ ne saurait se voir reconnaître la moindre valeur probante. Il ne dispensait pas l’intimée de mettre en œuvre l’instruction ordonnée par la chambre de céans. La cause doit ainsi une nouvelle fois lui être renvoyée, à charge pour elle de diligenter une expertise externe confiée à un spécialiste en chirurgie de la main, avec la collaboration du recourant conformément aux exigences en matière de droit d’être entendu (ATF 137 V 210 consid. 3.2.4.6 et 3.2.4.9). Compte tenu de l’issue du litige, la chambre de céans renoncera à l’audition des parties et des témoins requise par le recourant (ATF 130 II 425 consid. 2.1).</w:t>
      </w:r>
    </w:p>
    <w:p>
      <w:r>
        <w:rPr>
          <w:b/>
        </w:rPr>
        <w:t>E. 7</w:t>
      </w:r>
    </w:p>
    <w:p>
      <w:r>
        <w:t>Le recours est partiellement admis. Le recourant a droit à des dépens, fixés à CHF 1'000.- (art. 61 let. g LPGA). La procédure est gratuite (art. 61 let. a LPGA). * * * * * *</w:t>
      </w:r>
    </w:p>
    <w:p>
      <w:r>
        <w:t>A/1873/2019 - 13/13 -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