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ATAS/1065/2014 vom 8. Oktober 2014</w:t>
      </w:r>
    </w:p>
    <w:p>
      <w:r>
        <w:t>GE Cour de justice, 2014-10-08, FR</w:t>
      </w:r>
    </w:p>
    <w:p>
      <w:r>
        <w:rPr>
          <w:b/>
        </w:rPr>
        <w:t xml:space="preserve">Quelle: </w:t>
      </w:r>
      <w:r>
        <w:t>https://mcp.opencaselaw.ch/entscheid/ge_gerichte_ATAS_1065_2014</w:t>
      </w:r>
    </w:p>
    <w:p>
      <w:r>
        <w:t>FR: GE_GERICHTE ATAS/1065/2014 du 8 octobre 2014</w:t>
      </w:r>
    </w:p>
    <w:p>
      <w:r>
        <w:t>IT: GE_GERICHTE ATAS/1065/2014 del 8 ottobre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A/1017/2014 - 8/13 - assurances sociales du 6 octobre 2000 (LPGA; RS 830.1) relatives à la loi fédérale sur l’assurance-accidents du 20 mars 1981 (LAA; RS 832.20).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uniquement sur le droit du recourant à l’octroi d’une indemnité pour atteinte à l’intégrité.</w:t>
      </w:r>
    </w:p>
    <w:p>
      <w:r>
        <w:rPr>
          <w:b/>
        </w:rPr>
        <w:t>E. 4</w:t>
      </w:r>
    </w:p>
    <w:p>
      <w:r>
        <w:t>a. Aux termes de l’art. 24 al.1 LAA, si par suite d’un accident, l’assuré souffre d’une atteinte importante et durable à son intégrité physique, mentale ou psychique, il a droit à une indemnité équitable pour atteinte à l’intégrité. Selon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Cette indemnité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elle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 ATF 113 V 218 consid. 4b et les références ; voir aussi ATF 125 II 169 consid. 2d). b. A teneur de l’art. 36 de l’ordonnance sur l’assurance-accidents du 20 décembre 1982 (OLAA ; RS 832.20), une atteinte à l’intégrité est réputée durable lorsqu’il est prévisible qu’elle subsistera avec au moins la même gravité pendant toute la vie. Elle est réputée importante lorsque l’intégrité physique ou mentale subit,</w:t>
      </w:r>
    </w:p>
    <w:p>
      <w:r>
        <w:t>A/1017/2014 - 9/13 - indépendamment de la diminution de la capacité de gain, une altération évidente ou grave (al. 1). L’indemnité pour atteinte à l’intégrité est calculée selon les directives figurant à l’annexe 3 à l’OLAA (al. 2). Cette disposition a été jugée conforme à la loi en tant qu’elle définit le caractère durable de l’atteinte (ATF 133 V 224 consid. 2 ; arrêt du Tribunal fédéral des assurances U 401/06 du 12 janvier 2007 consid. 2.2). Ce dernier doit être à tout le moins établi au degré de la vraisemblance prépondérante (ATF 124 V 29 consid. 4b/cc). Le taux d’une atteinte à l’intégrité doit être évalué exclusivement sur la base de constatations médicales (ATF 115 V 147 consid. 1 ; ATF 113 V 218 consid. 4b ; RAMA 2004 p. 415 ; arrêt du Tribunal fédéral des assurances U 134/03 du 12 janvier 2004 consid. 5.2).</w:t>
      </w:r>
    </w:p>
    <w:p>
      <w:r>
        <w:rPr>
          <w:b/>
        </w:rPr>
        <w:t>E. 5</w:t>
      </w:r>
    </w:p>
    <w:p>
      <w:r>
        <w:t>a. L’annexe 3 à l’OLAA comporte un barème - reconnu conforme à la loi et non exhaustif (ATF 113 V 218 consid. 2a ; RAMA 1988 p. 236) - des lésions fréquentes et caractéristiques, évaluées en pour cent (ATF 124 V 209 consid. 4bb). Pour les atteintes à l’intégrité spéciales ou qui ne figurent pas dans la liste, le barème est appliqué par analogie, en fonction de la gravité de l’atteinte (ch.1 al. 2 1ère phrase). Les atteintes à l’intégrité pour lesquelles un taux inférieur à 5 % serait appliqué selon le barème ne donnent droit à aucune indemnité (ch. 1 al. 3). Il faut en conclure qu’une atteinte est réputée importante si elle atteint au moins ce pourcentage (Thomas FREI et Juerg P. BLEUER, Évaluation d’atteintes à l’intégrité multiples, in SUVA Medical 2012, p. 202).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b. A titre d’exemple, les tables d’indemnisation prévoient, concernant le taux d’atteinte à l’intégrité résultant de troubles fonctionnelles des membres supérieurs, qu’une mobilité entre 0°-90°-135° et entre 0°-30°-90° donnent droit à une indemnité de 10%, qu’un coude bloqué à 90° ou 30° donnent droit à une indemnité de 20%.</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A/1017/2014 - 10/13 -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il ressort des faits de la cause que le recourant souffre d’épicondylalgies résiduelles suite à sa chute de 2008. Il est rappelé que les différents ENMG se sont révélés dans les limites de la norme et ont exclu toute</w:t>
      </w:r>
    </w:p>
    <w:p>
      <w:r>
        <w:t>A/1017/2014 - 11/13 - atteinte lésionnelle neurogène (cf. notamment les examens des 12 mai 2009,</w:t>
      </w:r>
    </w:p>
    <w:p>
      <w:r>
        <w:rPr>
          <w:b/>
        </w:rPr>
        <w:t>E. 12</w:t>
      </w:r>
    </w:p>
    <w:p>
      <w:r>
        <w:t>mars 2010, 30 juin 2010, 19 novembre 2010, 7 septembre 2012). L’hypothèse d’une compression résiduelle du nerf radial, hypothèse émise par les Drs F______ et G______, a pu être définitivement écartée suite à la seconde intervention. L’échographie du 3 juin 2010 et l’IRM du 17 juin 2010 ont mis en évidence un aspect épaissi et irrégulier du nerf interosseux postérieur, aspect qui pouvait correspondre au status post-opératoire selon les spécialistes de la Clinique romande de réadaptation (cf. rapport du 7 janvier 2011). L’échographie du 24 juillet 2012 a montré une tuméfaction hypoéchogène et irrégulière du nerf interosseux postérieur (rapport du Dr K______ 24 juillet 2012). Tous les avis médicaux concluent à un état inflammatoire résiduel (cf. rapports du Dr L______ du 7 septembre 2012, de la Dresse M______ du 10 octobre 2012, du Dr F______ des 8 et 21 janvier 2013, des Drs G______ et F______ du 16 janvier 2014). 9. Il convient dès lors d’examiner si cette atteinte peut être qualifiée d’importante et de durable, de manière à ouvrir le droit à une indemnité. a. S’agissant de l’appréciation médicale, la chambre de céans observe que les rapports du Dr J______ des 15 mai 2012 et 1er février 2013 sont basés sur une anamnèse et une analyse complètes du dossier du recourant. L’état de santé de ce dernier a fait l’objet d’examens approfondis, ses plaintes ont été prises en compte et le médecin d’arrondissement a livré des constatations claires. Au surplus, aucun rapport médical mettant en lumière des contradictions ou des éléments qui auraient été ignorés n’a été produit. Ainsi, la chambre de céans retient que l’appréciation de ce médecin est convaincante. Celui-ci a considéré que l’état du membre supérieur droit du recourant ne donnait pas droit à une indemnité pour atteinte à l’intégrité. En effet, les mouvements de pronation, de supination, de flexion et d’extension des coudes étaient pratiquement identiques des deux côtés. Au niveau des poignets, l’inclinaison radiale et cubitale était similaire à droite à et à gauche, seule était relevée une différence dans les mouvements de flexion et extension. S’agissant des mains, la force de préhension au Jamar était de 50 kg à gauche, contre 20 kg à droite lors du premier examen et 30 kg au moment du second. Le périmètre des membres supérieurs était pratiquement identique des deux côtés. La chambre de céans relève en outre que ces constatations rejoignent celles d’autres médecins, à l’instar du Dr L______, dont le rapport du 7 septembre 2012, également basé sur une anamnèse détaillée et les plaintes du recourant, fait état d’un tonus normal, d’une force conservée et symétrique, de réflexes ostéotendineux très vifs et symétriques. La sensibilité superficielle, la pallesthésie et le sens des positions étaient conservés et symétriques. De même, le Dr F______ a conclu que la flexion et l’extension étaient quasiment symétriques avec un déficit de l’extension d’environ 5 degrés, et que la force observée était de 36 kg (rapport du</w:t>
      </w:r>
    </w:p>
    <w:p>
      <w:r>
        <w:t>A/1017/2014 - 12/13 -</w:t>
      </w:r>
    </w:p>
    <w:p>
      <w:r>
        <w:rPr>
          <w:b/>
        </w:rPr>
        <w:t>E. 17</w:t>
      </w:r>
    </w:p>
    <w:p>
      <w:r>
        <w:t>juillet 2012) et le Dr N______ a constaté que la mobilité du coude était libre et symétrique (rapport du 24 juin 2013). Eu égard à tout ce qui précède, force est de conclure que l’atteinte dont souffre le recourant ne saurait être qualifiée d’importante. b. En outre, il ressort des avis médicaux au dossier que cette atteinte pourra être soignée et qu’elle ne subsistera donc pas, durant toute la vie, avec au moins la même gravité. En effet, le Dr L______ a exposé que l’inflammation locale des tissus était exacerbée par le travail de nettoyeur (rapport du 7 septembre 2012) et que les mouvements répétitifs avec le bras droit influençaient défavorablement le processus de guérison. Selon lui, aucun dommage permanent n’était à craindre (rapport du 10 septembre 2012). Dans le même sens, la Dresse M______ a recommandé le port d’un brassard et d’une attelle de soutien afin de décharger les radiaux pour que l’état inflammatoire résiduelle puisse guérir définitivement (rapport du 10 octobre 2012). Ainsi, il apparaît hautement vraisemblable que les douleurs actuellement présentées par le recourant disparaîtront une fois l’inflammation guérie. A cet égard, la chambre de céans rappelle que le recourant a continué à travailler en qualité de nettoyeur, activité qui est considérée comme inadaptée à son état de santé. D’ailleurs, le Dr I______ avait noté que l’évolution avait été favorable suite à une immobilisation plâtrée et à des infiltrations (rapport du 6 février 2012). 10. Partant, faute d’atteinte importante et durable à la santé, le recourant ne peut pas prétendre au versement d’une indemnité pour atteinte à l’intégrité. 11. Au vu de ce qui précède, le recours est rejeté. 12. La procédure est gratuite (art. 61 let. a LPGA).</w:t>
      </w:r>
    </w:p>
    <w:p>
      <w:r>
        <w:t>A/1017/2014 - 13/13 -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