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ATAS/1065/2013 vom 31. Oktober 2013</w:t>
      </w:r>
    </w:p>
    <w:p>
      <w:r>
        <w:t>GE Cour de justice, 2013-10-31, FR</w:t>
      </w:r>
    </w:p>
    <w:p>
      <w:r>
        <w:rPr>
          <w:b/>
        </w:rPr>
        <w:t xml:space="preserve">Quelle: </w:t>
      </w:r>
      <w:r>
        <w:t>https://mcp.opencaselaw.ch/entscheid/ge_gerichte_ATAS_1065_2013</w:t>
      </w:r>
    </w:p>
    <w:p>
      <w:r>
        <w:t>FR: GE_GERICHTE ATAS/1065/2013 du 31 octobre 2013</w:t>
      </w:r>
    </w:p>
    <w:p>
      <w:r>
        <w:t>IT: GE_GERICHTE ATAS/1065/2013 del 31 ottobre 2013</w:t>
      </w:r>
    </w:p>
    <w:p>
      <w:pPr>
        <w:pStyle w:val="Heading2"/>
      </w:pPr>
      <w:r>
        <w:t>Erwägungen</w:t>
      </w:r>
    </w:p>
    <w:p>
      <w:r>
        <w:rPr>
          <w:b/>
        </w:rPr>
        <w:t>E. 1</w:t>
      </w:r>
    </w:p>
    <w:p>
      <w:r>
        <w:t>Conformément à l'art. 134 al. 1 let. a ch. 3 de la loi sur l'organisation judiciaire, du 26 septembre 2010 (LOJ ; RSG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complémentaires cantonales, du 25 octobre 1968 (LPCC; RSG J 4 25). La compétence de la Cour de céans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La LPC a connu plusieurs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 ATF non publié U 18/07 du</w:t>
      </w:r>
    </w:p>
    <w:p>
      <w:r>
        <w:rPr>
          <w:b/>
        </w:rPr>
        <w:t>E. 7</w:t>
      </w:r>
    </w:p>
    <w:p>
      <w:r>
        <w:t>Aux termes de l’art. 11 al. 1 LPC, les revenus déterminants comprennent, entre autres, le produit de la fortune mobilière et immobilière (let. b), un quinzième de la fortune nette, un dixième pour les bénéficiaires de rentes de vieillesse, dans la mesure où elle dépasse 37'500 fr. pour les personnes seules (let. c). a) S’agissant du produit de la fortune immobilière, l’art. 12 al. 1 OPC-AVS/AI précise que la valeur locative du logement occupé par le propriétaire ou l'usufruitier ainsi que le revenu provenant de la sous-location sont estimés selon les critères de la législation sur l'impôt cantonal direct du canton de domicile. A Genève, l’art. 24 al. 2 de loi sur l'imposition des personnes physiques du 27 septembre 2009 (LIPP – RSG D 3 08), entrée en vigueur le 1er janvier 2010, dispose notamment que la valeur locative est déterminée en tenant compte des conditions locales. Le loyer théorique des villas et des appartements en copropriété par étage occupés par leur propriétaire est fixé en fonction notamment de la surface habitable, du nombre de pièces, de l'aménagement, de la vétusté, de l'ancienneté, des nuisances éventuelles et de la situation du logement. Les loyers et fermages doivent, en principe, être pris en compte pour leur montant contractuel. Toutefois, lorsque ce montant est inférieur à celui qui est usuellement pratiqué dans la région, c’est ce dernier qui doit être pris en compte. Il en va de même dans les cas où aucun loyer n’a été convenu, ou dans les cas où l’immeuble est vide lors même qu’une location serait possible (Directives de l’OFAS concernant les prestations complémentaires à l’AVS et à l’AI, valables dès le 1er avril 2011 [DPC], ch. 3433.03). Lorsqu’un immeuble n’est pas situé dans le canton de Genève, l’administration fiscale peut faire recours à un taux forfaitaire de 4.5% de la valeur du bien pour fixer la valeur locative, et ce dans la mesure où les conditions locales ne peuvent pas être déterminées aisément, contrairement aux immeubles situés dans le canton (ATAS/237/2012 ; ATAS/43/2010 ; ATAS/732/2009). Le Tribunal fédéral a déjà eu l’occasion de juger que l’emploi de ce taux n'apparaissait pas comme excessif (ATF non publié P 57/05 du 29 août 2006). b) Concernant la fortune immobilière, l’art. 17 OPC-AVS/AI dispose que la fortune prise en compte doit être évaluée selon les règles de la législation sur l'impôt cantonal direct du canton du domicile (al. 1). Lorsque des immeubles ne servent pas d'habitation au requérant ou à une personne comprise dans le calcul de la prestation complémentaire, ils seront pris en compte à la valeur vénale (al. 4). En cas de dessaisissement d'un immeuble, à titre onéreux ou gratuit, est déterminante la valeur vénale pour savoir s'il y a renonciation à des parts de fortune au sens de l'art. 11 al. 1 let. g LPC. La valeur vénale n'est pas applicable si, légalement, il existe un droit d'acquérir l'immeuble à une valeur inférieure (al. 5). En lieu et place de la valeur vénale, les cantons peuvent appliquer uniformément la valeur de répartition déterminante pour les répartitions intercantonales (al. 6).</w:t>
      </w:r>
    </w:p>
    <w:p>
      <w:r>
        <w:t>A/1231/2013 - 7/12 - Dans ses commentaires concernant la modification de l'OPC-AVS/AI entrée en vigueur le 1er janvier 1992, l'OFAS a relevé à propos de l'art. 17 al. 4 OPC-AVS/AI que la valeur vénale - soit la valeur qu'atteindrait un immeuble au cours de transactions normales - est en règle générale nettement plus élevée que la valeur fiscale; il ne se justifie pas d'effectuer une réévaluation jusqu'à concurrence de la valeur vénale tant que le bénéficiaire de prestations complémentaires ou toute autre personne comprise dans le calcul de ladite prestation vit dans sa propre maison; cela dit, il n'en va pas de même si l'immeuble ne sert pas d'habitation aux intéressés, et force est de penser qu'il convient alors de prendre en compte la valeur que l'immeuble représente véritablement sur le marché; il ne serait pas équitable de garder un immeuble pour les héritiers, à la charge de la collectivité publique qui octroie des prestations complémentaires (ATF non publié P 13/01 du 25 février 2002, consid 5c/aa ; RCC 1991 p. 424).</w:t>
      </w:r>
    </w:p>
    <w:p>
      <w:r>
        <w:rPr>
          <w:b/>
        </w:rPr>
        <w:t>E. 8</w:t>
      </w:r>
    </w:p>
    <w:p>
      <w:r>
        <w:t>a) Au plan cantonal, l'art. 2 al. 1 LPCC prévoit qu'ont droit aux prestations complémentaires les personnes qui ont leur domicile et leur résidence habituelle dans le Canton de Genève et qui sont notamment au bénéfice d'une rente de l'assurance-vieillesse et survivants et qui répondent aux autres conditions de la LPCC. Selon l’art. 4 LPCC, ont droit aux prestations les personnes dont le revenu annuel déterminant n’atteint pas le revenu minimum cantonal d’aide sociale applicable, le montant de la prestation complémentaire correspondant à la part des dépenses reconnues qui excède le revenu déterminant du requérant (art. 15 al. 1 LPCC). b) L’art. 6 LPCC prévoit que les dépenses reconnues sont celles énumérées par la loi fédérale et ses dispositions d’exécution à l’exclusion du montant destiné à la couverture des besoins vitaux, remplacé par le montant destiné à garantir le revenu minimum cantonal d’aide social défini à l’art. 3. c) A teneur de l’art. 5 LPCC, le revenu déterminant est calculé conformément aux règles fixées dans la loi fédérale et ses dispositions d’exécution. En dérogation à l'art. 11 al. 1 let. c LPC, la part de la fortune nette prise en compte dans le calcul du revenu déterminant est de un huitième, respectivement de un cinquième pour les bénéficiaires de rentes de vieillesse, et ce après déduction notamment des franchises prévues par cette disposition. L’art. 7 LPCC stipule que la fortune mobilière et immobilière est évaluée selon les règles de la LIPP à l'exception des règles concernant les diminutions de la valeur des immeubles et les déductions sociales sur la fortune, prévues aux art. 50 let. e et 58 de ladite loi, qui ne sont pas applicables. Les règles d'évaluation prévues par la loi fédérale et ses dispositions d'exécution sont réservées.</w:t>
      </w:r>
    </w:p>
    <w:p>
      <w:r>
        <w:rPr>
          <w:b/>
        </w:rPr>
        <w:t>E. 9</w:t>
      </w:r>
    </w:p>
    <w:p>
      <w:r>
        <w:t>Pour le calcul de la prestation complémentaire annuelle, on prend en compte en règle générale les revenus déterminants obtenus au cours de l'année civile précédente et l'état de la fortune le 1er janvier de l'année pour laquelle la prestation</w:t>
      </w:r>
    </w:p>
    <w:p>
      <w:r>
        <w:t>A/1231/2013 - 8/12 - est servie ; peut également entrer en considération comme période de calcul celle sur laquelle se fonde la dernière taxation fiscale (art. 23 al. 1 et 2 OPC-AVS/AI). Au niveau cantonal, l’art. 9 al. 1 LPCC prévoit que pour la fixation de la prestation sont déterminantes, les rentes, pensions et autres prestations périodiques de l’année civile en cours (let. a), la fortune au 1er janvier de l’année pour laquelle la prestation est demandée (let. b).</w:t>
      </w:r>
    </w:p>
    <w:p>
      <w:r>
        <w:rPr>
          <w:b/>
        </w:rPr>
        <w:t>E. 10</w:t>
      </w:r>
    </w:p>
    <w:p>
      <w:r>
        <w:t>Il y a lieu de rappeler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Enfin,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11</w:t>
      </w:r>
    </w:p>
    <w:p>
      <w:r>
        <w:t>En l'espèce, il convient de déterminer dans un premier temps de quel objet la recourante est propriétaire. L’intimé a considéré, sur la base des premières pièces fournies par la recourante, que cette dernière était propriétaire de deux biens immobiliers : le premier situé au numéro 24 de l’avenue F__________ à Aix-les-Bains - comme mentionné par le promoteur dans sa proposition d’achat du 13 septembre 2012 -, le second sis au numéro 22 de la même avenue - comme cela ressort du jugement de divorce du 19 décembre 2006. La recourante soutient quant à elle qu’il s’agit du même bien immobilier, sis 22-24, avenue F__________. Après vérification sur le site internet du cadastre français, il appert qu’un seul bâtiment est construit sur la parcelle CD __________ d’Aix-les Bains, auquel sont attribués les numéros 22 et 24 de l’avenue F__________ (cf : http://www.cadastre.gouv.fr). Ceci est au demeurant confirmé par le courrier du promoteur du 15 avril 2013, lequel corrige la teneur de sa proposition d’achat du 13 septembre 2012 et indique que le tènement immobilier dont la recourante est</w:t>
      </w:r>
    </w:p>
    <w:p>
      <w:r>
        <w:t>A/1231/2013 - 9/12 - propriétaire indivise avec son ex-époux est situé aux numéros 22 et 24 de l’avenue F__________. Malgré le fait que le jugement du 19 décembre 2006 ne mentionne que le n° 22 de l’avenue, il paraît indéniable qu’il concerne également le n° 24. On ne saurait en aucun cas déduire de cette simple omission que le juge du divorce n’aurait pas tenu compte d’une partie du bâtiment construit sur la parcelle CD__________, étant rappelé qu’il a décrit en détail l’objet appartenant aux anciens époux. Par conséquent, il est établi, au degré de la vraisemblance prépondérante requis par la jurisprudence, que les deux documents sur lesquels s’est fondé l’intimé concernent en réalité le même bien immobilier.</w:t>
      </w:r>
    </w:p>
    <w:p>
      <w:r>
        <w:rPr>
          <w:b/>
        </w:rPr>
        <w:t>E. 12</w:t>
      </w:r>
    </w:p>
    <w:p>
      <w:r>
        <w:t>Dans un second temps, il sied de déterminer la valeur de ce bien immobilier afin de pouvoir calculer le droit aux prestations complémentaires de la recourante. Il est rappelé en préambule que les prestations complémentaires sont destinées à fournir aux personnes les plus mal loties socialement un revenu minimum (Message du Conseil fédéral relatif à un projet de loi sur les prestations complémentaires à l'assurance-vieillesse, survivants et invalidité du 21 septembre 1964, FF 1964 II 706). L'esprit de cette assurance est que les personnes puisent d'abord dans leurs propres moyens avant que leur besoins courants ne soient pris en charge par les prestations complémentaires (ATF non publié P 43/04 du 3 décembre 2004, consid. 3). Les personnes qui prétendent à des prestations complémentaires doivent donc se laisser imputer une part de leur fortune et de leurs revenus dans le calcul des revenus déterminants, conformément aux dispositions légales citées ci-dessus. En l’occurrence, bien qu’il ressorte du jugement de divorce que l’ex-mari de la recourante a encaissé seul les revenus locatifs et qu’il a occupé gratuitement l’immeuble, tant personnellement que professionnellement, et bien que la recourante soutienne que le bâtiment n’est plus en l’état d’être loué, elle admet que sa part de propriété est un élément de fortune immobilière devant entrer dans le calcul de ses ressources, tout comme le produit de sa fortune. Elle conteste en revanche le montant retenu par l’intimé à titre de fortune immobilière et soutient que sa valeur se monte à 55'000 euros, comme attesté par le promoteur, soit 33'812 fr. 08 (55'000 euros x 1.22953 / 2). L’intimé conteste l’estimation du promoteur, soulevant qu’il n’est pas abusif de considérer que la proposition d’achat ne reflète pas la valeur réelle du bien car, d’une part, la recourante n’a pas accepté l’offre et, d’autre part, la valeur avancée par le promoteur est nettement inférieure à celle à laquelle il conclut à partir des revenus locatifs générés en 2004, soit 19'546 euros. Il estime ainsi la fortune immobilière de la recourante à 267’026 fr. 59 (19'546 x 1.22953 / 4.5% / 2). Etant rappelé que la valeur vénale correspond à la valeur qu'atteindrait un immeuble au cours de transactions normales, la Cour de céans est d’avis que l’on ne saurait s’écarter de l’estimation fournie par la recourante, établie par des professionnels qui se sont fondés, selon toute vraisemblance, sur des éléments</w:t>
      </w:r>
    </w:p>
    <w:p>
      <w:r>
        <w:t>A/1231/2013 - 10/12 - objectifs tels que la structure du bien, l’état général des lieux, l’état de la propriété, sa situation géographique et climatique ou encore l’importance des éventuelles réfections à entreprendre. Certes, les revenus locatifs encaissés en 2004 pour une partie seulement de l’immeuble paraissent très élevés en comparaison avec la valeur vénale du bien immobilier dans son ensemble en 2012, mais cette disparité peut s’expliquer par le fait que le bien n’a plus été loué depuis 2005 et qu’il n’a pas été entretenu depuis de nombreuses années, de sorte que son état s’est très vraisemblablement dégradé. Cette argumentation est également accréditée par le fait que le montant des loyers a considérablement diminué entre 2004 et 2005, passant de 19'546 euros à 15'659 euros par an. La Cour de céans observe en outre que la valeur à laquelle parvient l’intimé paraît très élevée, eu égard à la taille de la parcelle (2a77ca) et à sa situation géographique, à savoir un quartier où l’habitat est vétuste et destiné à être reconstruit. Le taux de change de l’euro en franc suisse retenu par l’intimé n’est pas contestable dans la mesure où il correspond à celui indiqué dans le taux de conversion des monnaies en application du règlement CEE n°574/72 du Conseil publié dans le Journal officiel de l’Union européenne. La Cour de céans retiendra ainsi, au degré de la vraisemblance prépondérante requis, que l’estimation effectuée par le promoteur correspond à la réelle valeur vénale qui serait proposée par un éventuel acheteur, de sorte que la part de la recourante se monte à 33'812 fr. 10.</w:t>
      </w:r>
    </w:p>
    <w:p>
      <w:r>
        <w:rPr>
          <w:b/>
        </w:rPr>
        <w:t>E. 13</w:t>
      </w:r>
    </w:p>
    <w:p>
      <w:r>
        <w:t>Quant au produit de la fortune immobilière, il correspond à la valeur locative du bien que l’intimé a déterminée en faisant application du taux forfaitaire de 4.5% de la valeur vénale. Il n’y a pas lieu de s’en écarter, ce d’autant moins que la recourante ne conteste pas ce point. En revanche, attendu que le montant de la fortune immobilière doit être rectifié, son produit doit l’être également. Ainsi, il convient de tenir compte d’un montant de 1'521 fr. 55 (33'812 fr. 10 x 4.5%).</w:t>
      </w:r>
    </w:p>
    <w:p>
      <w:r>
        <w:rPr>
          <w:b/>
        </w:rPr>
        <w:t>E. 14</w:t>
      </w:r>
    </w:p>
    <w:p>
      <w:r>
        <w:t>La Cour de céans relèvera encore que l’intimé a omis de prendre en considération la déduction forfaitaire liée aux frais d’entretien de l’immeuble, déduction qui devra être fixée en fonction de l’âge du bâtiment. Par ailleurs, il ressort de son plan de calcul que l’intimé n’a pas appliqué les déductions correctes pour déterminer la fortune de la recourante, bénéficiaire d’une rente de l’assurance-vieillesse et survivants, à savoir un dixième de la fortune nette pour les prestations complémentaires fédérales et un cinquième pour les prestations cantonales, dans la mesure où ladite fortune dépasse 37'500 fr.</w:t>
      </w:r>
    </w:p>
    <w:p>
      <w:r>
        <w:rPr>
          <w:b/>
        </w:rPr>
        <w:t>E. 15</w:t>
      </w:r>
    </w:p>
    <w:p>
      <w:r>
        <w:t>Eu égard à ce qui précède, le recours est admis. La décision du 27 mars 2013 est annulée et la cause renvoyée à l'intimé pour nouveau calcul des prestations complémentaires fédérales et cantonales conformément aux considérants qui précèdent, en tenant compte notamment d’une</w:t>
      </w:r>
    </w:p>
    <w:p>
      <w:r>
        <w:t>A/1231/2013 - 11/12 - fortune immobilière de 33'812 fr. 10, d’un produit de 1'521 fr. 55 et de la déduction forfaitaire des frais d’entretien d’immeuble. La recourante, qui obtient gain de cause, a droit à une indemnité de dépens fixée à 1'500 fr. (art. 61 let. g LPGA et 89H al. 3 de la loi sur la procédure administrative du 12 septembre 1985 [LPA ; RSG E 5 10]). Pour le surplus, la procédure est gratuite (art. 61 let. a LPGA et 89H al. 1 LPA).</w:t>
      </w:r>
    </w:p>
    <w:p>
      <w:r>
        <w:t>A/1231/2013 - 12/12 - PAR CES MOTIFS, LA CHAMBRE DES ASSURANCES SOCIALES : Statuant A la forme : 1. Déclare le recours recevable. Au fond : 2. L'admet. 3. Annule la décision sur opposition du 27 mars 2013 et renvoie la cause à l’intimé pour nouveaux calculs et nouvelle décision dans le sens des considérants. 4. Condamne l'intimé à verser à la recourante une indemnité de 1'500 fr. à titre de participation à ses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