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ATAS/1065/2011 vom 3. November 2011</w:t>
      </w:r>
    </w:p>
    <w:p>
      <w:r>
        <w:t>GE Cour de justice, 2011-11-03, FR</w:t>
      </w:r>
    </w:p>
    <w:p>
      <w:r>
        <w:rPr>
          <w:b/>
        </w:rPr>
        <w:t xml:space="preserve">Quelle: </w:t>
      </w:r>
      <w:r>
        <w:t>https://mcp.opencaselaw.ch/entscheid/ge_gerichte_ATAS_1065_2011</w:t>
      </w:r>
    </w:p>
    <w:p>
      <w:r>
        <w:t>FR: GE_GERICHTE ATAS/1065/2011 du 3 novembre 2011</w:t>
      </w:r>
    </w:p>
    <w:p>
      <w:r>
        <w:t>IT: GE_GERICHTE ATAS/1065/2011 del 3 novembre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9 octobre 2009). La compétence de la Cour de céans pour juger du cas d’espèce est ainsi établie.</w:t>
      </w:r>
    </w:p>
    <w:p>
      <w:r>
        <w:rPr>
          <w:b/>
        </w:rPr>
        <w:t>E. 2</w:t>
      </w:r>
    </w:p>
    <w:p>
      <w:r>
        <w:t>Le 1er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w:t>
      </w:r>
    </w:p>
    <w:p>
      <w:r>
        <w:rPr>
          <w:b/>
        </w:rPr>
        <w:t>E. 4</w:t>
      </w:r>
    </w:p>
    <w:p>
      <w:r>
        <w:t>Le litige porte sur la question de savoir si c’est à juste titre que l’OAI n’a reconnu à l’assuré que le droit à un quart de rente d’invalidité. Il conviendra en particulier de se prononcer sur le degré d’invalidité et le statut du recourant.</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 versicherung, Zurich 1997, p. 8).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A/2362/2010 - 14/17 - un élément utile pour déterminer quels travaux on peut encore, raisonnablement, exiger de l’assuré (ATF 125 V 256 consid. 4 et les références).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L’autorité administrative doit constater d’office les faits déterminants, c’est-à-dire toutes les circonstances dont dépend l’application des règles de droit (ATF 117 V 261 consid. 3 p. 263; T. LOCHER, Grundriss des Sozialversicherungsrecht, Bern 1994, t. 1, p. 438). Elle est ainsi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l'OAI ne se révèlent pas probantes (ATF 9C_243/2010 du 28 juin 2011,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(consid. 4.4.1.4 in fine de l'arrêt précité du 28 juin 2011). b) Lors de l'examen initial du droit à la rente, il faut examiner sous l'angle des art. 4 et 5 LAI quelle méthode d'évaluation de l'invalidité il convient d'appliquer (art. 28a LAI, en corrélation avec les art. 27 ss RAI). Le choix de l'une des trois méthodes</w:t>
      </w:r>
    </w:p>
    <w:p>
      <w:r>
        <w:t>A/2362/2010 - 15/17 -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(ATF 130 V 393 consid. 3.3 p. 396). L’art. 28a al. 2 LAI, en particulier, prévoit que l’invalidité de l’assuré qui n’exerce pas d’activité lucrative et dont on ne peut raisonnablement exiger qu’il en entreprenne une est évaluée, en dérogation à l’art. 16 LPGA, en fonction de son incapacité à accomplir ses travaux habituels. Par travaux habituels des assurés travaillant dans le ménage, il faut entendre notamment l’activité usuelle dans le ménage, l’éducation des enfants ainsi que toute activité artistique ou d’utilité publique (art. 27 RAI 1ère phrase). Le Tribunal fédéral a considéré que pour les assurés travaillant dans le ménage, il convient d'examiner si l'assuré, étant valide, aurait consacré, après son mariage,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298ss consid. 2c).</w:t>
      </w:r>
    </w:p>
    <w:p>
      <w:r>
        <w:rPr>
          <w:b/>
        </w:rPr>
        <w:t>E. 7</w:t>
      </w:r>
    </w:p>
    <w:p>
      <w:r>
        <w:t>a) En l’espèce, il ressort de l’étude du dossier constitué par l’intimé et de l’avis exprimé par le SMR le 13 septembre 2011 que l’état de santé psychique du recourant n’a fait l’objet d’aucune investigation. Certes Madame B__________, psychologue et neuropsychologue FSP, a fait état d’un trouble mixte de la personnalité, avec une composante dyssociale au premier plan, ainsi que d’une labilité émotionnelle, de traits obsessionnels compulsifs et de troubles mnésiques médiocres. Il convient toutefois de relever que cette psychologue n’a reçu le recourant en consultation qu’une seule fois et qu’aucun médecin psychiatre n’a examiné l’intéressé. Or, un tel examen apparait nécessaire, les troubles décrits par la psychologue étant relativement importants. En outre, au vu des explications tant du médecin traitant de l’assuré que de la FSASD, il apparait que les limitations fonctionnelles somatiques de l’assuré sont conséquentes. Il conviendrait qu’elles soient précisées par un chirurgien orthopédiste et que l’enquête ménagère soit cas échéant renouvelée.</w:t>
      </w:r>
    </w:p>
    <w:p>
      <w:r>
        <w:t>A/2362/2010 - 16/17 - Enfin, le Dr E__________, spécialiste en gastroentérologie, a mis en évidence un reflux gastro-œsophagien, dont il a indiqué qu’il interdit au recourant de se pencher en avant. Ce médecin a recommandé de procéder à des examens complémentaires (PH-métrie et manométrie œsophagienne) afin de déterminer plus précisément les conséquences de cette atteinte. La proposition de l’intimé de procéder à des investigations complémentaires apparait dès lors judicieuse. Il conviendrait en particulier de mettre sur pied une expertise multidisciplinaire comprenant un volet psychiatrique, un volet orthopédique ainsi qu’un examen gastro-entérologique, étant précisé que les conclusions devront être prises en consilium sur les questions de la capacité de travail et du type d’activité que l’assuré serait cas échéant encore capable d’assumer. Une vérification de l’enquête ménagère sous ces angles serait également bienvenue. Cette expertise pourrait être confiée à la Clinique romande de réadaptation de Sion (CRR).</w:t>
      </w:r>
    </w:p>
    <w:p>
      <w:r>
        <w:t>b) Par ailleurs, au vu de la jurisprudence rappelée supra, on peut également se poser la question de savoir si c’est à juste titre que l’OAI a considéré l’assuré comme « non actif ».</w:t>
      </w:r>
    </w:p>
    <w:p>
      <w:r>
        <w:t>Dans la mesure où le dossier est renvoyé à l’OAI pour instruction médicale complémentaire, il conviendra que l’intimé se détermine également sur ce point et sur la méthode d’évaluation qu’il convient d’appliquer. Dans l’hypothèse où un statut de ménager ou un statut mixte serait retenu, une nouvelle enquête ménagère devra être diligentée, au vu notamment des éléments apportés par le Dr A__________ et par Madame B__________ mais aussi de ceux qui auront été mis en exergue par les experts. Il apparait en effet que les troubles psychiques du recourant n’ont pas été pris en considération dans le cadre de l’enquête ménagère. c) Au vu de ces éléments, la Cour de céans adhère à la proposition de l’intimé de lui renvoyer la cause pour instruction complémentaire au sens des considérants et nouvelle décision. A ce stade, le dossier n’apparait en effet pas suffisamment complet pour permettre de se prononcer en toute connaissance de cause. Le recours sera ainsi partiellement admis.</w:t>
      </w:r>
    </w:p>
    <w:p>
      <w:r>
        <w:rPr>
          <w:b/>
        </w:rPr>
        <w:t>E. 8</w:t>
      </w:r>
    </w:p>
    <w:p>
      <w:r>
        <w:t>Vu l’issue du litige, une indemnité de 3’000 fr. sera octroyée au recourant à titre de dépens (art. 61 let. g LPGA en corrélation avec l’art. 89H al. 4 de loi genevoise sur la procédure administrative ; LPA - E 5 10). La procédure de recours en matière de contestations portant sur l’octroi ou le refus de prestations de l’AI devant la Cour de céans étant soumise à des frais de justice, un émolument de 200 fr. sera mis à la charge de l’intimé (art. 69 al. 1bis LAI)</w:t>
      </w:r>
    </w:p>
    <w:p>
      <w:r>
        <w:t>A/2362/2010 - 17/17 -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