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ATAS/1063/2024 vom 23. Dezember 2024</w:t>
      </w:r>
    </w:p>
    <w:p>
      <w:r>
        <w:t>GE Cour de justice, 2024-12-23, FR</w:t>
      </w:r>
    </w:p>
    <w:p>
      <w:r>
        <w:rPr>
          <w:b/>
        </w:rPr>
        <w:t xml:space="preserve">Quelle: </w:t>
      </w:r>
      <w:r>
        <w:t>https://mcp.opencaselaw.ch/entscheid/ge_gerichte_ATAS_1063_2024</w:t>
      </w:r>
    </w:p>
    <w:p>
      <w:r>
        <w:t>FR: GE_GERICHTE ATAS/1063/2024 du 23 décembre 2024</w:t>
      </w:r>
    </w:p>
    <w:p>
      <w:r>
        <w:t>IT: GE_GERICHTE ATAS/1063/2024 del 23 dicembre 2024</w:t>
      </w:r>
    </w:p>
    <w:p>
      <w:pPr>
        <w:pStyle w:val="Heading2"/>
      </w:pPr>
      <w:r>
        <w:t>Erwägungen</w:t>
      </w:r>
    </w:p>
    <w:p>
      <w:r>
        <w:rPr>
          <w:b/>
        </w:rPr>
        <w:t>E. 1</w:t>
      </w:r>
    </w:p>
    <w:p>
      <w:r>
        <w:t>Tant la compétence de la Cour de céans que la recevabilité du recours ont d’ores et déjà été admises dans l’ordonnance du 28 novembre 2022. Il n’y a dès lors pas lieu d’y revenir ici.</w:t>
      </w:r>
    </w:p>
    <w:p>
      <w:r>
        <w:rPr>
          <w:b/>
        </w:rPr>
        <w:t>E. 2.1</w:t>
      </w:r>
    </w:p>
    <w:p>
      <w:r>
        <w:t>Le 1er janvier 2022, les modifications de la LAI du 19 juin 2020 (développement continu de l’AI ; RO 2021 705) et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w:t>
      </w:r>
    </w:p>
    <w:p>
      <w:r>
        <w:rPr>
          <w:b/>
        </w:rPr>
        <w:t>E. 2.2</w:t>
      </w:r>
    </w:p>
    <w:p>
      <w:r>
        <w:t>En l’occurrence, la décision querellée concerne un premier octroi de rente dont le droit – s’il était reconnu – naîtrait avant le 31 décembre 2021. En conséquence, les dispositions légales applicables seront citées, ci-après, dans leur ancienne teneur, s’agissant de la première période. En revanche, si une modification de la situation devait être admise à compter du 1er janvier 2022, ce serait alors le nouveau qui serait applicable pour cette période-là.</w:t>
      </w:r>
    </w:p>
    <w:p>
      <w:r>
        <w:rPr>
          <w:b/>
        </w:rPr>
        <w:t>E. 3</w:t>
      </w:r>
    </w:p>
    <w:p>
      <w:r>
        <w:t>Le litige porte sur le droit de la recourante à une rente d’invalidité.</w:t>
      </w:r>
    </w:p>
    <w:p>
      <w:r>
        <w:rPr>
          <w:b/>
        </w:rPr>
        <w:t>E. 4.1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4.2</w:t>
      </w:r>
    </w:p>
    <w:p>
      <w:r>
        <w:t>Les atteintes à la santé psychique peuvent, comme les atteintes physiques, entraîner une invalidité au sens de l’art. 4 al. 1 LAI en liaison avec l’art. 8 LPGA. On ne considère pas comme des conséquences d’un état psychique maladif, donc</w:t>
      </w:r>
    </w:p>
    <w:p>
      <w:r>
        <w:t>A/4319/2021 - 12/27 -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102 V 165 consid. 3.1 ; VSI 2001 p. 223 consid. 2b ; arrêt du Tribunal fédéral I 786/04 du 19 janvier 2006 consid. 3.1).</w:t>
      </w:r>
    </w:p>
    <w:p>
      <w:r>
        <w:rPr>
          <w:b/>
        </w:rPr>
        <w:t>E. 4.2.1</w:t>
      </w:r>
    </w:p>
    <w:p>
      <w:r>
        <w:t>La reconnaissance de l’existence d’une atteinte à la santé psychique suppose la présence d’un diagnostic émanant d’un expert (psychiatre) et s’appuyant selon les règles de l’art sur les critères d’un système de classification reconnu, telle la classification internationale des maladies (ci-après : CIM) ou le DSM-IV (Diagnostic and Statiscal Manual ; ATF 143 V 409 consid. 4.5.2 ; 141 V 281 consid. 2.1 et 2.1.1 ; 130 V 396 consid. 5.3 et 6).</w:t>
      </w:r>
    </w:p>
    <w:p>
      <w:r>
        <w:rPr>
          <w:b/>
        </w:rPr>
        <w:t>E. 4.2.2</w:t>
      </w:r>
    </w:p>
    <w:p>
      <w:r>
        <w:t>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nombre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d’allégation d’intenses douleurs dont les caractéristiques demeurent vagues, d’absence de demande de soins, de grandes divergences entre les informations fournies par le patient et celles ressortant de l’anamnèse, de plaintes très démonstratives laissant insensible l’expert, ainsi qu’en cas d’allégation de lourds handicaps malgré un environnement psycho-social intact (ATF 141 V 281 consid. 2.2.1 et 2.2.2 ;</w:t>
      </w:r>
    </w:p>
    <w:p>
      <w:r>
        <w:t>A/4319/2021 - 13/27 - 132 V 65 consid. 4.2.2 ; arrêt du Tribunal fédéral 9C_16/2016 du 14 juin 2016 consid. 3.2).</w:t>
      </w:r>
    </w:p>
    <w:p>
      <w:r>
        <w:rPr>
          <w:b/>
        </w:rPr>
        <w:t>E. 4.2.3</w:t>
      </w:r>
    </w:p>
    <w:p>
      <w:r>
        <w:t>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w:t>
      </w:r>
    </w:p>
    <w:p>
      <w:r>
        <w:rPr>
          <w:b/>
        </w:rPr>
        <w:t>E. 4.2.4</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 consid. 4.3.2) C. Complexe « Contexte social » (consid. 4.3.3) - Catégorie « Cohérence » (aspects du comportement ;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w:t>
      </w:r>
    </w:p>
    <w:p>
      <w:r>
        <w:rPr>
          <w:b/>
        </w:rPr>
        <w:t>E. 4.2.5</w:t>
      </w:r>
    </w:p>
    <w:p>
      <w:r>
        <w:t>Pour des motifs de proportionnalité, on peut renoncer à une appréciation selon la grille d’évaluation normative et structurée si elle n’est pas nécessaire ou</w:t>
      </w:r>
    </w:p>
    <w:p>
      <w:r>
        <w:t>A/4319/2021 - 14/27 -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(arrêts du Tribunal fédéral 9C_101/2019 du 12 juillet 2019 consid. 4.3 et la référence ; 9C_724/2018 du 11 juillet 2019 consid. 7). En l’absence d’un diagnostic psychiatrique, une telle appréciation n’a pas non plus à être effectuée (arrêt du Tribunal fédéral 9C_176/2018 du 16 août 2018 consid. 3.2.2).</w:t>
      </w:r>
    </w:p>
    <w:p>
      <w:r>
        <w:rPr>
          <w:b/>
        </w:rPr>
        <w:t>E. 5.1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w:t>
      </w:r>
    </w:p>
    <w:p>
      <w:r>
        <w:rPr>
          <w:b/>
        </w:rPr>
        <w:t>E. 5.2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Il faut en outre que le médecin dispose de la formation spécialisée nécessaire et de compétences professionnelles dans le domaine d’investigation (arrêt du Tribunal fédéral 9C_555/2017 du 22 novembre 2017 consid. 3.1 et les références).</w:t>
      </w:r>
    </w:p>
    <w:p>
      <w:r>
        <w:rPr>
          <w:b/>
        </w:rPr>
        <w:t>E. 5.3</w:t>
      </w:r>
    </w:p>
    <w:p>
      <w:r>
        <w:t>Sans remettre en cause le principe de la libre appréciation des preuves, le Tribunal fédéral des assurances a posé des lignes directrices en ce qui concerne la manière d’apprécier certains types d’expertises ou de rapports médicaux.</w:t>
      </w:r>
    </w:p>
    <w:p>
      <w:r>
        <w:t>A/4319/2021 - 15/27 -</w:t>
      </w:r>
    </w:p>
    <w:p>
      <w:r>
        <w:rPr>
          <w:b/>
        </w:rPr>
        <w:t>E. 5.3.1</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ATF 135 V 465 consid. 4.4. et les références ; ATF 125 V 351 consid. 3b/aa et les références)</w:t>
      </w:r>
    </w:p>
    <w:p>
      <w:r>
        <w:rPr>
          <w:b/>
        </w:rPr>
        <w:t>E. 5.3.2</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5.3.3</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distincte. Il n’en va différemment que si ces médecins traitants font état d’éléments objectivement vérifiables ayant été ignorés dans le cadre de l’expertise et qui sont suffisamment pertinents pour remettre en cause les conclusions de l’expert (arrêt du Tribunal fédéral 8C_458/2023 du 18 décembre 2023 consid. 3.2 et la référence).</w:t>
      </w:r>
    </w:p>
    <w:p>
      <w:r>
        <w:rPr>
          <w:b/>
        </w:rPr>
        <w:t>E. 6</w:t>
      </w:r>
    </w:p>
    <w:p>
      <w:r>
        <w:t>A/4319/2021 - 16/27 -</w:t>
      </w:r>
    </w:p>
    <w:p>
      <w:r>
        <w:rPr>
          <w:b/>
        </w:rPr>
        <w:t>E. 6.1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et les références). Aussi n’existe-t-il pas, en droit des assurances sociales, un principe selon lequel l’administration ou le juge devrait statuer, dans le doute, en faveur de l’assuré (ATF 135 V 39 consid. 6.1 et la référence).</w:t>
      </w:r>
    </w:p>
    <w:p>
      <w:r>
        <w:rPr>
          <w:b/>
        </w:rPr>
        <w:t>E. 6.2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 122 V 157 consid. 1d).</w:t>
      </w:r>
    </w:p>
    <w:p>
      <w:r>
        <w:rPr>
          <w:b/>
        </w:rPr>
        <w:t>E. 7</w:t>
      </w:r>
    </w:p>
    <w:p>
      <w:r>
        <w:t>En l’espèce, la recourante conclut à l’octroi d’une rente entière d’invalidité. Elle évoque l’aggravation de son état dépressif et de son TDAH, lesquels correspondraient depuis octobre 2021, à une forme grave, péjorant de manière importante sa capacité de travail, au point qu’elle serait désormais incapable d’exercer la moindre activité. À l'appui de sa position, la recourante invoque notamment l’avis émis en date du 17 décembre 2021 par le Dr F______, qui, en substance, évoque les effets secondaires de la médication et fait état d’une grave baisse de rendement en lien avec l'instabilité clinique, le syndrome dépressif et anxieux et le TDAH décompensé. Selon ce médecin, sa patiente ne dispose que d’une capacité de travail de 20 à 30% (deux à trois demi-journées) dans une activité adaptée, qu’il décrit comme devant consister en tâches concrètes (pas d'activité administrative ou organisationnelle), avec un cahier des charges prévisible, clair et structuré, sans imprévus, ni variations, dans une ambiance de tranquillité et de bienséance, sans trop d'exigences ou d'attitudes critiques de la hiérarchie. L’intimé, quant à lui, après avoir pris l’avis du SMR qui s’est finalement rallié aux conclusions de l’expert judiciaire, admet désormais qu’à compter du 7 janvier 2019, l’incapacité de travail a été totale, jusqu’au 1er janvier 2022, date à laquelle il retient une capacité de 50% dans une activité adaptée.</w:t>
      </w:r>
    </w:p>
    <w:p>
      <w:r>
        <w:t>A/4319/2021 - 17/27 -</w:t>
      </w:r>
    </w:p>
    <w:p>
      <w:r>
        <w:rPr>
          <w:b/>
        </w:rPr>
        <w:t>E. 7.1</w:t>
      </w:r>
    </w:p>
    <w:p>
      <w:r>
        <w:t>Il convient dès lors d’examiner la valeur probante du rapport d’expertise judiciaire. La Cour de céans constate en premier lieu que ce rapport a été rendu en pleine connaissance du dossier, qu’il comporte une anamnèse familiale, personnelle et professionnelle approfondie et un status rhumatologique et psychiatrique fouillés, qu’il se fait l’écho des plaintes de l’assurée, que les diagnostics et les conclusions sont bien motivés et que l’analyse est articulée autour de la grille structurée prévue par la jurisprudence. Aussi convient-il en principe d’en reconnaître la valeur probante. L’expert a également détaillé les conclusions de l’évaluation neuropsychologique effectuée par Madame N______, psychologue spécialiste en psychothérapie FSP. En substance, cette évaluation a mis en évidence un fonctionnement intellectuel se situant dans la zone « moyenne » pour l’ensemble des indices évalués. Le profil cognitif a mis au premier plan des difficultés de l’attention, des performances exécutives, de la vitesse de traitement, de planification et d’organisation. En revanche, les capacités de mémoire en modalité verbale et visio-spatiale, de flexibilité mentale, visio-constructive et d’auto-activation ont été qualifiées de préservées. Qui plus est, le profil cognitif a mis en évidence une cognition sociale aux capacités d’empathie et d’inférence préservées. Ont été retenus à titre de diagnostics : un trouble dépressif récurrent, épisode actuel léger à moyen, une perturbation de l’activité et de l’attention (F 90) dès l’enfance (devenue invalidante dès 2019) et trouble de la personnalité anankastique (F 60.5) (invalidant dès 2019). A également été mentionné à titre de diagnostic sans répercussion sur la capacité de travail un dysfonctionnement neurovégétatif somatoforme (F 45.3) depuis 2012. L’expert a expliqué que le trouble dépressif récurrent, s’il avait pu être sévère ou moyen par le passé, n’était plus désormais que de sévérité légère à moyenne. Le TDAH, vraisemblablement présent depuis l’enfance, n’était devenu invalidant qu’en 2019. Le bilan neuropsychologique démontrait une atteinte modérée touchant l’attention, la vitesse de traitement et certaines fonctions exécutives (planification, organisation). L’expert a retracé de manière détaillée l’évolution des différentes atteintes au fil du temps, expliquant qu’à partir de 2016, dans un contexte de pression à son dernier poste, l’assurée a décompensé des traits de personnalité anankastique préexistants (procrastination, intérêt porté aux détails, lenteur d’exécution et crainte des erreurs, perfectionnisme, difficulté à prendre des décisions, rigidité dans les contacts interpersonnels avec haut niveau d’anxiété situationnelle, doutes fréquents) ; ces traits ont alors franchi le seuil du trouble, qualifié de léger, mais participant à la mauvaise adaptation de l’assurée dans le milieu professionnel. Depuis janvier 2019, le tableau clinique a évolué de manière variable. L’assurée a pu avoir confirmation de son TDAH et a été prise en charge régulièrement par les</w:t>
      </w:r>
    </w:p>
    <w:p>
      <w:r>
        <w:t>A/4319/2021 - 18/27 - HUG entre juin 2021 et fin 2022. Le TDAH est resté actif et s’est aggravé au fil du temps selon les psychiatres traitants. À cet égard, l’expert a indiqué n’avoir constaté que des symptômes modérés (en l’absence de traitement correcteur), superposables aux observations de juillet 2020. Plus important, les entretiens ont fait ressortir une personne avec une forte dysrégulation émotionnelle, incapable de gérer ses émotions négatives, notamment l’irritabilité et l’agressivité. Le trouble dépressif récurrent, en revanche, s’est amélioré, avec une symptomatologie désormais légère à moyenne, avec persistance d’un sentiment de dévalorisation, d’une tension interne forte, d’absence de projection dans l’avenir, d’un pessimisme tenace et de ruminations négatives. Les fonctions biologiques sont en amélioration (sommeil et appétit). Le trouble de la personnalité anankastique est présent sans changement depuis 2016, date de sa décompensation. L’expert a retenu des limitations fonctionnelles hétérogènes et concernant en priorité l’endurance et la résistance, l’intégration dans un groupe, la mise en pratique des compétences et connaissances professionnelles, l’affirmation de soi, l’adaptation aux règles et la planification des tâches. Il a écarté toute majoration ou incohérence, décrivant une assurée authentique dans l’expression de son désarroi. Le test de validation s’est également montré négatif. S’agissant des limitations fonctionnelles, l’expert a retenu : s’agissant du TDAH : des troubles de l’attention, de la vitesse de traitement, de la planification et de l’organisation, mais surtout une forte dysrégulation émotionnelle, avec une incapacité frappante à gérer les émotions négatives, limitations dont il a considéré qu’elles étaient devenues invalidantes à partir de 2019 ; s’agissant du trouble dépressif récurrent : un pessimisme et une faible estime de soi, ainsi qu’une irritabilité accrue et une tension interne ; s’agissant du trouble de la personnalité anankastique : une procrastination, un perfectionnisme induisant une augmentation du niveau d’anxiété et une lenteur dans l’exécution des tâches, une obstination sur le plan relationnel et une difficulté dans la prise décisionnelle, limitations également devenues invalidantes en 2019. Le tableau clinique a été décrit comme totalement cohérent avec les diagnostics retenus et les plaintes exprimées. L’expert a souligné que la date d’apparition des diagnostics ne correspondait pas au moment du début de l’incapacité de travail y relative et expliqué ses conclusions à cet égard de manière convaincante : le TDAH, présent depuis l’enfance, avait été mis en évidence en 2020, mais l’incapacité de travail en milieu usuel datait de janvier 2019, à raison de 50%. Le trouble dépressif récurrent était présent de longue date et avait été par moments invalidant à 100%, puis à 50%, en fonction de l’évolution clinique. Après une période de rémission, il était de nouveau devenu totalement invalidant début 2019 et jusqu’à fin 2021. À partir du 1er janvier 2022, l’incapacité de travail en lien avec le trouble dépressif, désormais léger, n’avait plus été que de 20%. Quant au trouble de la personnalité anankastique, présent depuis le début de l’année 2016, il n’était devenu invalidant</w:t>
      </w:r>
    </w:p>
    <w:p>
      <w:r>
        <w:t>A/4319/2021 - 19/27 - qu’au début de l’année 2019, à 30%. De manière globale, l’assurée avait été totalement incapable d’exercer la moindre activité depuis le début de l’année 2019. En revanche, à compter de janvier 2022 (selon les rapports des thérapeutes et les démarches effectuées par l’expertisée), l’assurée aurait pu exercer une activité lucrative adaptée à ses limitations à un taux maximal de 50%, sans diminution de rendement supplémentaire. Serait adaptée une activité impliquant une faible sollicitation des ressources attentionnelles, dans un milieu bienveillant sans pression hiérarchique, idéalement en petite équipe (par exemple, dans une activité de formatrice). L’expert a indiqué être globalement d’accord avec les appréciations du Dr F______, avec certaines réserves sur le plan diagnostic, celui de trouble de la personnalité borderline devant, selon lui, être clairement exclu ; la référence à l’importance de l’anxiété est correcte, toutefois, ces symptômes s’inscrivent dans le contexte du trouble dépressif récurrent, les épisodes d’attaques de panique, les ruminations et la tension interne et ne suffisent pas pour retenir un trouble anxieux autonome ; quant à la référence à un stress post-traumatique, elle ne peut être soutenue, car l’assurée ne présente ni réminiscence, ni attitude d’évitement, ni méfiance avec attitude de retrait, ni cauchemars à répétition. S’agissant de l’évaluation de la capacité de travail, l’expert dit rejoindre l’avis du Dr F______. Ainsi que cela ressort de ce qui précède, l’expert a livré un rapport détaillé, argumenté, motivé et convainquant, qu’il a encore eu l’occasion d’étayer lors de son audition, ce qui a d’ailleurs finalement convaincu le SMR de se rallier à ses conclusions. S’il n’en va pas de même de la recourante, qui persiste à soutenir qu’elle est incapable d’exercer à plus de 20-30%, voire pas du tout, une activité, même adaptée, force est de constater qu’elle n’apporte à l’appui de sa position aucun élément médical objectif qui aurait été ignoré de l’expert. Elle ne critique d’ailleurs plus véritablement le travail de ce dernier mais se contente de lui opposer l’évaluation de la capacité de travail du Dr F______, voire la sienne propre, ce qui n’est de loin pas suffisant pour faire douter des conclusions de l’expert. À l’instar du SMR, la Cour de céans se rallie aux conclusions de l’expert, à savoir, une totale incapacité de travail de janvier 2019 à décembre 2021, puis une capacité de 50% dans une activité adaptée, telle que décrite par l’expert.</w:t>
      </w:r>
    </w:p>
    <w:p>
      <w:r>
        <w:rPr>
          <w:b/>
        </w:rPr>
        <w:t>E. 8</w:t>
      </w:r>
    </w:p>
    <w:p>
      <w:r>
        <w:t>La recourante reproche à l'intimé de n'avoir ni défini ce en quoi pourrait consister précisément une activité adaptée et le taux auquel elle pourrait l’exercer, ni examiné la question d’une diminution de rendement dans une telle activité au vu des effets secondaires occasionnés tant par son traitement actuel que par celui préconisé par l’expert, raison pour laquelle elle réclame, avant tout calcul de son degré d’invalidité, la mise en place d’une mesure d’observation professionnelle.</w:t>
      </w:r>
    </w:p>
    <w:p>
      <w:r>
        <w:t>A/4319/2021 - 20/27 - S’il est vrai que l’expert a évoqué la possibilité de faire appel à un spécialiste en réadaptation, il n’en demeure pas moins qu’il a décrit précisément les critères que devait remplir une activité pour être considérée comme adaptée. Il a ainsi préconisé un milieu, non pas protégé, mais « bienveillant », en adéquation avec les capacités intellectuelles de l’assurée, mais sans hiérarchie pesante, de préférence en petit groupe. S’il a exclu des cours en amphithéâtre, une formation pour adultes, par exemple, lui a paru répondre à de tels critères. Dans le même sens, le Dr F______ a émis l’avis qu’une activité impliquant des contacts limités, par exemple pour donner des cours fixes et relativement répétitifs lui paraissait envisageable. C’est le lieu de rappeler que la recourante, en parallèle à son activité professionnelle, a entrepris des études universitaires de 2008 à 2015, en vue d'obtenir un Master européen en formation des adultes. Mettre à profit cette formation et exercer dans un tel domaine paraît donc parfaitement exigible de sa part. Une mesure d’observation professionnelle visant à circonscrire plus précisément les « cibles professionnelles » de la recourante n’apparaît dès pas nécessaire. À cet égard, il y a lieu de rappeler que, pour déterminer le revenu d’invalide, il y a lieu de se fonder, en règle générale, sur les salaires mensuels indiqués dans la table ESS TA1_tirage_skill_level, à la ligne « total secteur privé » (ATF 124 V 321 consid. 3b/aa). On se réfère alors à la statistique des salaires bruts standardisés, en se fondant toujours sur la médiane ou valeur centrale (ATF 126 V 75 consid. 3b/bb ; arrêt du Tribunal fédéral 8C_58/2021 du 30 juin 2021 consid. 4.1.1).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w:t>
      </w:r>
    </w:p>
    <w:p>
      <w:r>
        <w:rPr>
          <w:b/>
        </w:rPr>
        <w:t>E. 9</w:t>
      </w:r>
    </w:p>
    <w:p>
      <w:r>
        <w:t>Reste à examiner le degré d’invalidité à reconnaître à la recourante et, préalablement, à déterminer quel statut doit lui être reconnu, dès lors qu’elle soutient que, sans atteinte à sa santé, elle aurait travaillé à plein temps, alors que l’intimé base ses calculs sur un statut mixte de personne active à 80%.</w:t>
      </w:r>
    </w:p>
    <w:p>
      <w:r>
        <w:rPr>
          <w:b/>
        </w:rPr>
        <w:t>E. 9.1</w:t>
      </w:r>
    </w:p>
    <w:p>
      <w:r>
        <w:t>Selon le droit applicable jusqu’au 31 décembre 2021, en vertu de l’art. 28 al. 2 LAI, l’assuré a droit à une rente entière s’il est invalide à 70% au moins, à un trois quarts de rente s'il est invalide à 60% au moins, à une demi-rente s’il est invalide à 50% au moins, ou à un quart de rente s’il est invalide à 40% au moins.</w:t>
      </w:r>
    </w:p>
    <w:p>
      <w:r>
        <w:t>A/4319/2021 - 21/27 - Selon le droit applicable depuis le 1er janvier 2022, en vertu de l’art. 28b LAI, la quotité de la rente est fixée en pourcentage d’une rente entière (al. 1). Pour un taux d’invalidité compris entre 50 et 69%, la quotité de la rente correspond au taux d’invalidité (al. 2) ; pour un taux d’invalidité supérieur ou égal à 70%, l’assuré a droit à une rente entière (al. 3). Pour les taux d’invalidité compris entre 40 et 49%, la quotité de la rente s’échelonne de 25 à 47,5% (cf. al. 4). La quotité de la rente est déterminée en fonction de l’incapacité de gain au moment où le droit à la rente prend naissance (cf. art. 28 al. 1 let. c LAI). Le droit à la rente naît au plus tôt à l’échéance d’une période de six mois à compter de la date à laquelle l’assuré à fait valoir son droit aux prestations conformément à l’art. 29 al. 1 LPGA, mais pas avant le mois qui suit le 18ème anniversaire de l’assuré (art. 29 al. 1 LAI).</w:t>
      </w:r>
    </w:p>
    <w:p>
      <w:r>
        <w:rPr>
          <w:b/>
        </w:rPr>
        <w:t>E. 9.2</w:t>
      </w:r>
    </w:p>
    <w:p>
      <w:r>
        <w:t>Pour évaluer le taux d’invalidité d’un assuré exerçant une activité lucrative, le revenu qu’il aurait pu obtenir s’il n’était pas invalide est comparé avec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(art. 16 LPGA et 28a al. 1 LAI). Selon l’art. 24septies RAI, le statut d’un assuré est déterminé en fonction de la situation professionnelle dans laquelle il se trouverait s’il n’était pas atteint dans sa santé (al. 1). L’assuré est réputé exercer une activité lucrative au sens de l’art. 28a al. 1 LAI dès lors qu’en bonne santé, il exercerait une activité lucrative à un taux d’occupation de 100% ou plus (al. 2 let. a).</w:t>
      </w:r>
    </w:p>
    <w:p>
      <w:r>
        <w:rPr>
          <w:b/>
        </w:rPr>
        <w:t>E. 9.3</w:t>
      </w:r>
    </w:p>
    <w:p>
      <w:r>
        <w:t>La comparaison des revenus s’effectue, en règle ordinaire, en chiffrant aussi exactement que possible les montants des revenus sans et avec invalidité et en les confrontant l’un avec l’autre, la différence permettant de calculer le taux d’invalidité (méthode générale de comparaison des revenus ; ATF 137 V 334 consid. 3.1.1 ; 128 V 29 consid. 1 ; 104 V 135 consid. 2a et 2b).</w:t>
      </w:r>
    </w:p>
    <w:p>
      <w:r>
        <w:rPr>
          <w:b/>
        </w:rPr>
        <w:t>E. 9.4</w:t>
      </w:r>
    </w:p>
    <w:p>
      <w:r>
        <w:t>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 des exceptions ne peuvent être admises que si elles sont établies au degré de la vraisemblance prépondérante (ATF 144 I 103 consid. 5.3 ; 139 V 28 consid. 3.3.2 et les références ; 135 V 297 consid. 5.1 et les références ; 134 V 322 consid. 4.1 et les références). Toutefois, lorsque la perte de l'emploi est due à des motifs étrangers à l'invalidité, le salaire</w:t>
      </w:r>
    </w:p>
    <w:p>
      <w:r>
        <w:t>A/4319/2021 - 22/27 - doit être établi sur la base de valeurs moyennes. Autrement dit, dans un tel cas, n'est pas déterminant pour la fixation du revenu hypothétique de la personne valide le salaire que la personne assurée réaliserait actuellement auprès de son ancien employeur, mais bien plutôt celui qu'elle réaliserait si elle n'était pas devenue invalide.</w:t>
      </w:r>
    </w:p>
    <w:p>
      <w:r>
        <w:rPr>
          <w:b/>
        </w:rPr>
        <w:t>E. 9.5</w:t>
      </w:r>
    </w:p>
    <w:p>
      <w:r>
        <w:t>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143 V 295 consid. 2.2 et la référence ; 135 V 297 consid. 5.2 et les références). Dans ce cas, il convient de se fonder, en règle générale, sur les salaires mensuels indiqués dans la table TA1 de l’ESS, à la ligne « total secteur privé » (ATF 124 V 321 consid. 3b/aa), étant précisé que, depuis l'ESS 2012, il y a lieu d'appliquer le tableau TA1_skill_ level (ATF 142 V 178). On se réfère alors à la statistique des salaires bruts standardisés, en se fondant toujours sur la médiane ou valeur centrale (ATF 126 V 75 consid. 3b/bb ; arrêt du Tribunal fédéral 8C_58/2021 du 30 juin 2021 consid. 4.1.1).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 arrêt du Tribunal fédéral 8C_655/2016 du 4 août 2017 consid. 6.3). Si l’assuré ne réalise pas de revenu déterminant, le revenu avec invalidité est déterminé en fonction des valeurs statistiques visées à l’art. 25 al. 3 RAI (art. 26bis al. 2 RAI). Il y a lieu de tenir compte de la formation professionnelle ou de la situation et de l’expérience professionnelles antérieures, pour autant que l’on puisse encore raisonnablement exiger de l’assuré qu’il exerce les activités en question. Si l’activité précédente n’est plus raisonnablement exigible, il convient de déterminer le salaire statistique d’une activité qui l’est encore (OFAS, CIRAI, ch. 3412).</w:t>
      </w:r>
    </w:p>
    <w:p>
      <w:r>
        <w:rPr>
          <w:b/>
        </w:rPr>
        <w:t>E. 9.6</w:t>
      </w:r>
    </w:p>
    <w:p>
      <w:r>
        <w:t>Selon l’art. 26bis al. 3 RAI (dans sa teneur en vigueur du 1er janvier 2022 au 31 décembre 2023), si, du fait de l’invalidité, les capacités fonctionnelles de</w:t>
      </w:r>
    </w:p>
    <w:p>
      <w:r>
        <w:t>A/4319/2021 - 23/27 - l’assuré au sens de l’art. 49 al. 1bis RAI, ne lui permettent de travailler qu’à un taux d’occupation de 50% ou moins, une déduction de 10% pour le travail à temps partiel est opérée sur la valeur statistique. Dans un arrêt de principe (8C_823/2023 du 8 juillet 2024, destiné à la publication), le Tribunal fédéral a considéré que le régime de déduction sur les salaires statistiques des ESS, tel que prévu de manière exhaustive à l’art. 26bis al. 3 RAI (dans sa teneur en vigueur du 1er janvier 2022 au 31 décembre 2023), n’est pas compatible avec le droit fédéral. Le Tribunal fédéral a relevé notamment qu’il ressortait des travaux préparatoires relatifs à la révision de la LAI (Développement continu de l’AI), que la jurisprudence actuelle en matière d’abattement devait être, pour l’essentiel, reprise et que la méthode d’évaluation du taux d’invalidité devait, en principe, rester inchangée (cf. consid. 9.4.2). Or, en limitant la déduction à 10% dans le cas où les capacités fonctionnelles de la personne assurée ne lui permettent de travailler qu’à un taux d’occupation de 50% ou moins (cf. art. 26bis al. 3 RAI), le Conseil fédéral avait choisi une autre voie (consid. 9.4.3). Par conséquent, si en raison des circonstances du cas d’espèce, le salaire statistique des ESS doit être adapté au-delà de ce que prévoit l’art. 26bis al. 3 RAI, il y a lieu recourir, en complément, à la jurisprudence appliquée jusqu’alors par le Tribunal fédéral (consid. 10.6). Le 1er janvier 2024, la modification de l’art. 26bis al. 3 RAI du 18 octobre 2023 (RO 2023 635) est entrée en vigueur. Selon sa nouvelle teneur, l’art. 26bis al. 3 RAI prévoit désormais qu’une déduction de 10% est opérée sur la valeur statistique visée à l’al. 2. Si, du fait de l’invalidité, l’assuré ne peut travailler qu’avec une capacité fonctionnelle au sens de l’art. 49, al. 1bis, de 50% ou moins, une déduction de 20% est opérée. Aucune déduction supplémentaire n’est possible. Selon l’al. 1 des dispositions transitoires relatives à la modification du 18 octobre 2023, pour les rentes en cours à l’entrée en vigueur de cette modification qui correspondent à un taux d’invalidité inférieur à 70% et pour lesquelles le revenu avec invalidité a été déterminé sur la base de valeurs statistiques et n’a pas déjà fait l’objet d’une déduction de 20%, une révision est engagée dans les trois ans qui suivent l’entrée en vigueur de la modification. Si la révision devait conduire à une diminution ou à une suppression de la rente, il y sera renoncé. Si elle devait conduire à une augmentation de la rente, celle-ci prendra effet à l’entrée en vigueur de la présente modification.</w:t>
      </w:r>
    </w:p>
    <w:p>
      <w:r>
        <w:rPr>
          <w:b/>
        </w:rPr>
        <w:t>E. 9.7</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w:t>
      </w:r>
    </w:p>
    <w:p>
      <w:r>
        <w:t>A/4319/2021 - 24/27 -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144 I 28 consid. 2.3 ; ATF 137 V 334 consid. 3.2 ; ATF 117 V 194 consid. 3b ;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144 I 28 consid. 2.3 et les références ; 141 V 15 consid. 3.1 ; 137 V 334 consid. 3.2 ; 125 V 146 consid. 2c et les références).</w:t>
      </w:r>
    </w:p>
    <w:p>
      <w:r>
        <w:rPr>
          <w:b/>
        </w:rPr>
        <w:t>E. 10.1</w:t>
      </w:r>
    </w:p>
    <w:p>
      <w:r>
        <w:t>En l’espèce, la recourante répète que, si son état le lui avait permis, elle aurait travaillé à plein temps. Elle en veut pour démonstration le fait qu’elle a postulé, en novembre 2015, à un emploi de secrétaire de direction à 100% (pce 19 rec.). Elle rappelle qu’elle a effectué des activités complémentaires à son emploi exercé à 80% au sein d’une étude d’avocats (des remplacements), qu’elle a poursuivi des études, et qu’en 2015, lorsqu’elle a effectué des recherches d’emploi à plein temps, sa fille cadette, née en 1998, avait déjà plus de seize ans. On notera à cet égard que l’intimé, dans ses dernières écritures, se contente de reprendre ses calculs selon un statut mixte de personne active à 80%, sans pour autant motiver les raisons pour lesquelles il maintient sa position à cet égard. Précédemment, il s’est contenté de soutenir que la recourante n’aurait pas rendu vraisemblable qu’elle aurait travaillé à plein temps. Cela étant, il ressort du dossier que si l’assurée a effectivement occupé son dernier poste à 80%, entre mai 2014 et septembre 2019, elle est divorcée, ne bénéficie</w:t>
      </w:r>
    </w:p>
    <w:p>
      <w:r>
        <w:t>A/4319/2021 - 25/27 - d’aucune pension alimentaire pour elle-même et qu’elle a effectivement postulé à un emploi à plein temps en 2015, date à laquelle sa cadette était adolescente. S’y ajoute le fait qu’entre 2008 et 2015, elle a suivi une formation auprès de la faculté des sciences de l’éducation de l’Université de Genève et obtenu un bachelor en sciences de l’éducation en 2012 ou 2013, dont on peut penser légitimement qu’elle l’aurait exploité si son état de santé le lui avait permis. D’ailleurs, entre 2008 et 2015, parallèlement à son emploi à l’étude, elle a enseigné la langue et la civilisation portugaises le soir à l’association O______. Contrairement à l’intimé – qui considère que l’assurée a travaillé à temps partiel par choix personnel « parce qu’elle a complété ses formations à l’Université de 2008 à 2015 » –, la Cour de céans est d’avis que, précisément, si elle a suivi ces formations, c’est pour, ensuite, les mettre à profit à temps plein, comme elle le soutient depuis le début de la procédure. Son état de santé ne lui en a pas laissé le loisir. Eu égard à ce qui précède, il convient de reconnaître à l’assurée le statut d’active à 100%.</w:t>
      </w:r>
    </w:p>
    <w:p>
      <w:r>
        <w:rPr>
          <w:b/>
        </w:rPr>
        <w:t>E. 10.2</w:t>
      </w:r>
    </w:p>
    <w:p>
      <w:r>
        <w:t>Il convient dès lors de recalculer le degré d’invalidité de la recourante. À compter du 1er janvier 2020, c’est le droit à une rente entière qui lui est reconnu, selon les dernières conclusions de l’intimé. Pour la période débutant le 1er avril 2022 (soit trois mois après l’amélioration admise par l’expert), le revenu avant invalidité est établi par l’intimé à CHF 76'433.- (salaire effectivement perçu réactualisé), à 100%. Il n’est pas contesté par la recourante et n’apparaît d’ailleurs pas critiquable. L’intimé retient un revenu après invalidité de CHF 24'400.- (ESS 2020, TA1_tirage_skill_level, niveau 1 = 4'276.- par mois pour 40 h./sem. = 4'457.- par mois pour 41,7 h./sem. = 53'488.- en 2020 = 54'222.- en 2022 = CHF 24'400.- à 50%, après réduction supplémentaire de 10%). Cela étant, comme le fait valoir la recourante, il paraît légitime d’appliquer à ce montant une réduction de 20% et non de 10%. Certes, selon l’art. 26bis al. 3 RAI dans sa teneur en vigueur du 1er janvier 2022 au 31 décembre 2023, si, du fait de l’invalidité, les capacités fonctionnelles de l’assuré ne lui permettent de travailler qu’à un taux d’occupation de 50% ou moins, une déduction de 10% pour le travail à temps partiel est opérée sur la valeur statistique. Cela étant, comme rappelé supra, dans un arrêt de principe du 8 juillet 2024, notre Haute Cour a considéré que le régime de déduction sur les salaires statistiques de l’ESS ainsi établi n’était pas compatible avec le droit fédéral. Il y a été remédié par l’entrée en vigueur, le 1er janvier 2024, de la modification de l’art. 26bis al. 3 RAI du 18 octobre 2023, qui prévoit désormais qu’une déduction de 20% est opérée si, du fait de l’invalidité, l’assuré ne peut travailler qu’avec une capacité fonctionnelle de 50% ou moins.</w:t>
      </w:r>
    </w:p>
    <w:p>
      <w:r>
        <w:t>A/4319/2021 - 26/27 - Dans la mesure où l’al. 1 des dispositions transitoires relatives à cette prévoit que, pour les rentes en cours à l’entrée en vigueur qui correspondent à un taux d’invalidité inférieur à 70% et pour lesquelles le revenu avec invalidité a été déterminé sur la base de valeurs statistiques et n’a pas déjà fait l’objet d’une déduction de 20%, une révision est engagée dans les trois ans qui suivent l’entrée en vigueur de la modification, il paraît légitime d’appliquer cette réduction en l’espèce. Il en découle un revenu après invalidité de CHF 21'689.- qui, comparé au revenu avant invalidité, conduit à une perte de gain de 71.62%, ouvrant droit à une rente entière en vertu de l’art. 28b al. 3 LAI dans sa teneur applicable depuis le 1er janvier 2022. Il en découle que la recourante a droit à une rente entière au-delà du 31 mars 2022 et qu’il se justifie donc d’admettre son recours.</w:t>
      </w:r>
    </w:p>
    <w:p>
      <w:r>
        <w:t>***</w:t>
      </w:r>
    </w:p>
    <w:p>
      <w:r>
        <w:t>A/4319/2021 - 27/27 - PAR CES MOTIFS, LA CHAMBRE DES ASSURANCES SOCIALES : Statuant Au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