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ATAS/1062/2013 vom 30. Oktober 2013</w:t>
      </w:r>
    </w:p>
    <w:p>
      <w:r>
        <w:t>GE Cour de justice, 2013-10-30, FR</w:t>
      </w:r>
    </w:p>
    <w:p>
      <w:r>
        <w:rPr>
          <w:b/>
        </w:rPr>
        <w:t xml:space="preserve">Quelle: </w:t>
      </w:r>
      <w:r>
        <w:t>https://mcp.opencaselaw.ch/entscheid/ge_gerichte_ATAS_1062_2013</w:t>
      </w:r>
    </w:p>
    <w:p>
      <w:r>
        <w:t>FR: GE_GERICHTE ATAS/1062/2013 du 30 octobre 2013</w:t>
      </w:r>
    </w:p>
    <w:p>
      <w:r>
        <w:t>IT: GE_GERICHTE ATAS/1062/2013 del 30 ottobre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w:t>
      </w:r>
    </w:p>
    <w:p>
      <w:r>
        <w:t>A/2465/2013 - 4/6 - Sa compétence pour juger du cas d’espèce est ainsi établie.</w:t>
      </w:r>
    </w:p>
    <w:p>
      <w:r>
        <w:rPr>
          <w:b/>
        </w:rPr>
        <w:t>E. 2</w:t>
      </w:r>
    </w:p>
    <w:p>
      <w:r>
        <w:t>Interjeté dans les délai et forme prescrits par la loi, le recours est recevable (art. 56 ss LPGA).</w:t>
      </w:r>
    </w:p>
    <w:p>
      <w:r>
        <w:rPr>
          <w:b/>
        </w:rPr>
        <w:t>E. 3</w:t>
      </w:r>
    </w:p>
    <w:p>
      <w:r>
        <w:t>Est litigieuse en l’occurrence la question de savoir si la recourante remplit les conditions légales pour bénéficier d’une remise de l’obligation de restituer la somme de 24'059 fr.</w:t>
      </w:r>
    </w:p>
    <w:p>
      <w:r>
        <w:rPr>
          <w:b/>
        </w:rPr>
        <w:t>E. 4</w:t>
      </w:r>
    </w:p>
    <w:p>
      <w:r>
        <w:t>Selon l’art. 25 al. 1 LPGA, les prestations indûment touchées doivent être restituées. La restitution ne peut être exigée lorsque l’intéressé était de bonne foi et qu’elle le mettrait dans une situation difficile.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En revanche, l’intéressé peut invoquer sa bonne foi lorsque l’acte ou l’omission fautifs ne constituent qu’une violation légère de l’obligation d’annoncer ou de renseigner (ATF 112 V 103 consid. 2c ; DTA 2003 n° 29 p. 260 consid. 1.2 et les références ; RSAS 1999 p. 384). Il y a négligence grave quand un ayant droit ne se conforme pas à ce qui peut raisonnablement être exigé d’une personne capable de discernement dans une situation identique et dans les mêmes circonstances (ATF 110 V 181 consid. 3d ; cf aussi ATF non publié 9C_41/2011 du 16 août 2011, consid. 5.2).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ajoutera que la bonne foi doit être niée quand l'enrichi pouvait, au moment du versement, s'attendre à son obligation de restituer, parce qu'il savait ou devait savoir, en faisant preuve de l'attention requise, que la prestation était indue (art. 3 al. 2 CC; ATF 130 V 414 consid. 4.3, ATF non publié 8C_385/2011 du 13 février 2012, consid. 3). On signalera enfin, que, de jurisprudence constante, la condition de la bonne foi doit être réalisée dans la période où l’assuré concerné a reçu les prestations indues dont la restitution est exigée (ATF non publié 8C_766/2007 du 17 avril 2008, consid. 4.1 et les références citées).</w:t>
      </w:r>
    </w:p>
    <w:p>
      <w:r>
        <w:rPr>
          <w:b/>
        </w:rPr>
        <w:t>E. 5</w:t>
      </w:r>
    </w:p>
    <w:p>
      <w:r>
        <w:t>En l’espèce, la recourante, respectivement sa mandataire, devait s’attendre, au moment de son héritage, à ce que le montant des prestations complémentaires soit réduit, celles-ci dépendant précisément de la situation financière de l’ayant droit. Lorsqu’elle a néanmoins continué à recevoir le même montant, elle devait être consciente de ce qu’elle pourrait être tenue de restituer tout ou partie des prestations</w:t>
      </w:r>
    </w:p>
    <w:p>
      <w:r>
        <w:t>A/2465/2013 - 5/6 - reçues. Rien que ce fait exclut la bonne foi de la recourante et de ses mandataires, indépendamment des autres circonstances. A cela s’ajoute que l’obligation de renseigner l’intimé, immédiatement après avoir appris l’héritage, a également été violée. Même si la mandataire de la recourante avait rencontré beaucoup de difficultés dans la période qui avait suivi la mort de sa sœur et en avait été bouleversée, il n’est pas établi qu’elle était objectivement empêchée d’agir et d’aviser l’intimé. Ces circonstances ne peuvent par conséquent la disculper. La bonne foi doit ainsi être niée, de sorte que la décision de l’intimé est fondée.</w:t>
      </w:r>
    </w:p>
    <w:p>
      <w:r>
        <w:rPr>
          <w:b/>
        </w:rPr>
        <w:t>E. 6</w:t>
      </w:r>
    </w:p>
    <w:p>
      <w:r>
        <w:t>Au vu de ce qui précède, le recours sera rejeté.</w:t>
      </w:r>
    </w:p>
    <w:p>
      <w:r>
        <w:rPr>
          <w:b/>
        </w:rPr>
        <w:t>E. 7</w:t>
      </w:r>
    </w:p>
    <w:p>
      <w:r>
        <w:t>La procédure est gratuite.</w:t>
      </w:r>
    </w:p>
    <w:p>
      <w:r>
        <w:t>A/2465/2013 - 6/6 -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