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ATAS/1062/2012 vom 28. August 2012</w:t>
      </w:r>
    </w:p>
    <w:p>
      <w:r>
        <w:t>GE Cour de justice, 2012-08-28, FR</w:t>
      </w:r>
    </w:p>
    <w:p>
      <w:r>
        <w:rPr>
          <w:b/>
        </w:rPr>
        <w:t xml:space="preserve">Quelle: </w:t>
      </w:r>
      <w:r>
        <w:t>https://mcp.opencaselaw.ch/entscheid/ge_gerichte_ATAS_1062_2012</w:t>
      </w:r>
    </w:p>
    <w:p>
      <w:r>
        <w:t>FR: GE_GERICHTE ATAS/1062/2012 du 28 août 2012</w:t>
      </w:r>
    </w:p>
    <w:p>
      <w:r>
        <w:t>IT: GE_GERICHTE ATAS/1062/2012 del 28 agosto 2012</w:t>
      </w:r>
    </w:p>
    <w:p>
      <w:pPr>
        <w:pStyle w:val="Heading2"/>
      </w:pPr>
      <w:r>
        <w:t>Erwägungen</w:t>
      </w:r>
    </w:p>
    <w:p>
      <w:r>
        <w:rPr>
          <w:b/>
        </w:rPr>
        <w:t>E. 21</w:t>
      </w:r>
    </w:p>
    <w:p>
      <w:r>
        <w:t>Le 17 novembre 2011, l'assurée a interjeté recours contre cette décision, concluant préalablement à son audition et à l'apport des dossiers d'autres employés de X__________ SA ayant invoqué une maladie professionnelle. Principalement, elle a conclu à l'annulation de la décision entreprise, à la reconnaissance de l'existence d'une maladie professionnelle, au renvoi de la cause à l'intimée pour qu'elle détermine les prestations qui lui étaient dues et au versement de dépens de procédure. Elle a allégué que les conclusions de plusieurs médecins consultés convergeaient vers l'attribution de la capsulite dont elle souffrait à son activité professionnelle. Elle a considéré que l'intimée n'avait pas exposé de manière convaincante qu'elle n'avait pas exercé une activité de nature à mettre ses épaules à contribution de manière répétitive et dans un rythme soutenu, ce que retenait cependant l'Institut universitaire romand de santé au travail. Enfin, la position de l'intimée était peu motivée et ne reposait que sur le seul avis du médecin d'arrondissement, qui ne s'était pas même déplacé sur le lieu de travail pour prendre ses conclusions.</w:t>
      </w:r>
    </w:p>
    <w:p>
      <w:r>
        <w:rPr>
          <w:b/>
        </w:rPr>
        <w:t>E. 22</w:t>
      </w:r>
    </w:p>
    <w:p>
      <w:r>
        <w:t>Dans sa réponse du 19 décembre 2011, l'intimée a conclu à la confirmation de la décision entreprise et au rejet du recours, considérant que la recourante ne faisait valoir aucun argument nouveau. Celle-ci se bornait à affirmer, sur la base d'un rapport de l'Institut universitaire romand de santé au travail, que l'atteinte affectant ses épaules constituait une maladie professionnelle. Or, le médecin d'arrondissement avait nié que les tendinopathies dégénératives de la coiffe à gauche, ainsi que l'atteinte chronique de la coiffe et l'arthrose acromio-claviculaire à droite, constituaient une maladie professionnelle. En particulier, le médecin d'arrondissement avait mis en évidence la présence d'anomalies kystiques, d'une capsulite rétractile et d'une arthrose acromio-claviculaire qui corroboraient le</w:t>
      </w:r>
    </w:p>
    <w:p>
      <w:r>
        <w:t>A/3919/2011 - 8/17 - caractère probablement multifactoriel des troubles de l'épaule de la recourante. Dès lors que ces éléments n'avaient pas été pris en considération dans le rapport de l'Institut universitaire romand de santé au travail, l'intimée soutenait qu'il n'y avait pas lieu de s'écarter de l'avis du médecin d'arrondissement. Il n'était ainsi pas possible de soutenir que le travail de la recourante chez X__________ SA était la cause prépondérante à plus de 50% des atteintes bilatérales affectant ses épaules.</w:t>
      </w:r>
    </w:p>
    <w:p>
      <w:r>
        <w:rPr>
          <w:b/>
        </w:rPr>
        <w:t>E. 23</w:t>
      </w:r>
    </w:p>
    <w:p>
      <w:r>
        <w:t>Par courrier du 17 janvier 2012, suite à une demande de renseignements formulée par la Cour de céans, l'intimée a indiqué que quatre autres cas d'employés engagés chez X__________ SA avaient justifié l'ouverture d'une instruction pour maladie professionnelle. Elle a joint, en annexe, les dossiers y relatifs, selon lesquels une employée avait souffert de troubles au bras gauche sous la forme d'une épicondylite, un autre d'importants problèmes respiratoires, le troisième de tendinite de l'épaule droite et la dernière de crises d'asthme. La maladie professionnelle n'avait été retenue dans aucun de ces quatre cas.</w:t>
      </w:r>
    </w:p>
    <w:p>
      <w:r>
        <w:rPr>
          <w:b/>
        </w:rPr>
        <w:t>E. 24</w:t>
      </w:r>
    </w:p>
    <w:p>
      <w:r>
        <w:t>Le 14 février 2012, la recourante a indiqué qu'elle n'avait aucun moyen de vérifier si la production des dossiers déposés par l'intimée était exhaustive. A l'examen de ces documents, il apparaissait toutefois que l'intimée contestait systématiquement l'existence d'une maladie professionnelle. Les assurés renonçaient quant à eux, la plupart du temps, à poursuivre la procédure après la décision sur opposition. Or, la position adoptée par l'intimée ne constituait en aucun cas un indice de l'absence de maladie professionnelle engendrée par les activités au sein de l'entreprise X__________ SA. Il apparaissait au contraire qu'une ouvrière affectée à l'emballage des crayons, tout comme la recourante, avait annoncé une maladie professionnelle, en raison de mouvements répétitifs, selon son chirurgien orthopédique traitant, et cela depuis 2001. De même, un ouvrier polisseur s'était plaint d'une tendinite à l'épaule droite en lien avec son activité professionnelle, depuis le 28 juin 2002. Sur cette base, la recourante a considéré que son cas n'était pas unique au sein de X__________ SA. Les mouvements répétitifs, décrits par de nombreux assurés, laissaient d'ailleurs présumer de l'existence d'une maladie professionnelle. Ils se justifiait de procéder à l'audition des Drs P__________ et Q__________, pour déterminer qu'il s'agissait bien d'une maladie professionnelle.</w:t>
      </w:r>
    </w:p>
    <w:p>
      <w:r>
        <w:rPr>
          <w:b/>
        </w:rPr>
        <w:t>E. 25</w:t>
      </w:r>
    </w:p>
    <w:p>
      <w:r>
        <w:t>Le 17 avril 2012, la Cour de céans a convoqué une audience d'enquêtes. À cette occasion, le Dr Q__________ a déclaré avoir: "conclu à une tendinopathie des deux épaules d'origine professionnelle, parce que l'activité est hautement répétitive pour les deux bras, bien que différente. Je précise que la charge n'est pas déterminante, en ce sens que la tendinopathie survient quel que soit le poids. C'est surtout l'aspect répétitif du mouvement qui l'est, et sa fréquence. L'Institut National de Recherches et de Sécurité pour la prévention des accidents de travail et des maladies professionnelles (INRS) français retient qu'un mouvement est hautement répétitif lorsqu'il intervient au moins toutes les trente</w:t>
      </w:r>
    </w:p>
    <w:p>
      <w:r>
        <w:t>A/3919/2011 - 9/17 - secondes. J'ai fait le calcul s'agissant de la patiente. Je suis arrivé à un résultat de 6 boîtes par minute (5,8 précisément), ce qui implique un mouvement hautement répétitif. S'agissant du diagnostic de capsulite rétractile, celui-ci n'a été posé qu'après que la patiente ait travaillé quelques années chez X__________. Nous n'avons cependant pas indiqué qu'il était d'origine professionnelle, car nous ne pouvons pas le démontrer scientifiquement. Il n'y a pas en l'état d'études solides associant ce type de pathologie à ce type d'activité professionnelle. Nous considérons toutefois que le lien est possible. Nous n'avons pas constaté d'arthrose acromio-claviculaire, parce que nous n'avons pas procédé à une imagerie. Nous avions à notre disposition des radiographies datées du 30 août 2007. Il n'y a pas d'arthrose sur les clichés. En revanche, sur une IRM de novembre 2008, on peut relever une discrète arthrose de l'épaule droite. Il est impossible de déterminer précisément dans quelle mesure une atteinte est imputable à l'exercice d'une activité. Dans le cas d'espèce, nous avons estimé qu'il y avait un lien assez fort entre la profession et l'apparition de la tendinopathie. Nous avons considéré que la condition du caractère hautement prépondérant était réalisée. Le fait est également que l'arthrose est apparue ultérieurement. Je rappelle que l'assurée a commencé à souffrir de l'épaule gauche, puis de l'épaule droite dès 2006. Nous savons par ailleurs que des collègues de la patiente souffraient des mêmes atteintes. Le Docteur T_________ a réalisé une arthro IRM de l'épaule gauche le 20 juin 2007 (cf. arrêt TCAS du 28 avril 2009). Il est question d'une géode dégénérative. Je précise qu'une géode de la grande tubérosité peut être un signe d'arthrose. Elle n'a pas d'influence sur le mouvement, ne déforme pas l'articulation. Il est constaté une discrète tendinopathie dégénérative. Cette constatation vient conforter notre conclusion liée à la maladie professionnelle. Il peut y avoir un aspect dégénératif dû à l'âge, dès la trentaine. S'agissant de la patiente, cet aspect est minime. Le facteur professionnel est de loin la première cause de la tendinopathie dont souffre l'assurée, même si l'on tient compte du facteur de l'âge, minime, et du fait qu'il s'agisse d'une femme potentiellement plus sujette à cette atteinte. Les troubles musculo-squelettiques liés à des mouvements répétitifs ont tendance à se chronifier. Il est vrai que si l'on s'arrête immédiatement après une phase aigue, on peut constater une amélioration et prévoir un bon pronostic. Tel n'est toutefois pas le cas si l'on ne s'arrête pas en temps utile. Dans le cas de l'assurée, il y a eu une certaine amélioration après qu'elle ait arrêté plus de trois ans son travail. Des symptômes ont cependant persisté dus à la chronification de l'atteinte."</w:t>
      </w:r>
    </w:p>
    <w:p>
      <w:r>
        <w:t>A/3919/2011 - 10/17 - Lors de cette même audience, la recourante a déclaré que, suite à la confirmation du rejet de sa demande de prestations AI par le TCAS, elle s'était inscrite au chômage. Un stage professionnel avait été envisagé pour elle. Malheureusement, son médecin avait dû la mettre en arrêt de travail après trois jours seulement, en raison de ses douleurs aux épaules. Elle avait dû prendre des antidépresseurs et suivre plusieurs thérapies afin de comprendre le pourquoi et le comment de sa maladie. Elle avait finalement compris que sa pathologie faisait dorénavant partie de sa vie. Elle expliquait que sa situation financière était difficile; seul son mari travaillait et ils avaient deux enfants. L'Hospice général ne pouvait pas les aider, car leurs revenus dépassaient légèrement les barèmes. Elle avait fait une demande pour travailler comme maman de jour et elle s'occupait actuellement d'un seul enfant, ce qui ne générait toutefois qu'un faible revenu.</w:t>
      </w:r>
    </w:p>
    <w:p>
      <w:r>
        <w:rPr>
          <w:b/>
        </w:rPr>
        <w:t>E. 26</w:t>
      </w:r>
    </w:p>
    <w:p>
      <w:r>
        <w:t>Le 23 janvier 2012, le Dr U__________, médecin d'arrondissement de l'intimée, spécialiste FMH en chirurgie, a relevé qu'aucune étude du poste de travail n'avait été réalisée dans la société X___________ SA. La description du poste de travail reposait ainsi exclusivement sur les indications fournies par la recourante à l'occasion de l'examen du 18 juin 2010 en qualité de préposée à l'emballage et pour une journée de travail débutant à 7 heures pour se finir à 16 heures. Il a rappelé que selon la recourante, sa mission consistait à mettre les crayons à papier dans une boîte. Pour cela, elle était assise sur un tabouret en bois réglable en hauteur. Elle devait saisir de sa main gauche une boîte métallique vide située à environ 30 cm au- dessus du coude, qu'elle ouvrait en parallèle et qu'elle devait poser sur le plan de travail. Pendant ce temps, elle prenait, de la main droite, un support en plastique qu'elle posait dans la boîte. Le positionnement des crayons dans la boîte était ensuite réalisé par une machine. Plus tard, elle devait insérer un petit prospectus dans la boîte avant de la fermer. Les supports en plastique et le prospectus étaient également posés à une hauteur de 30 cm. Le rythme de travail était en principe dicté par la machine (environ 2'500 boîtes par jour). Après la naissance de son deuxième enfant, elle avait été affectée à l'emballage des stylos-billes. Les stylos-billes étaient posés individuellement sur un support en plastique dans une boîte et le rythme était nettement moins contraignant que pour les crayons à papier. Après seulement trois mois, la recourante avait dû retourner à son ancien poste de travail, car elle était indisposée par les vapeurs d'acétone qu'elle supportait difficilement. Le diagnostic d'une capsulite rétractile pour les deux épaules de la recourante ne pouvait pas être retenu. L'arthrographie des deux épaules réalisée le 30 mars 2011 montrait en effet une capsulite articulaire normale. Il n'existait donc aucune raison organique structurelle permettant d'expliquer notamment un déficit de rotation interne ou externe des épaules. Il était dès lors possible d'expliquer le déficit de mobilité active (mais pas passive) constaté chez la recourante pour les deux épaules uniquement sur le plan comportemental. S'agissant du diagnostic de tendinopathie bilatérale supra-épineuse, il s'appuyait sur le résultat IRM d'un trouble du signal existant des deux côtés du tendon supra-épineux, sans signe d'une rupture de la continuité ni</w:t>
      </w:r>
    </w:p>
    <w:p>
      <w:r>
        <w:t>A/3919/2011 - 11/17 - expression d'une modification dégénérative susceptible également de survenir chez une femme âgée de 33 ans en 2007. Les kystes visiblement symétriques au niveau du tubercule de la tête de l'humérus étaient également des altérations dégénératives. La cause des douleurs aux épaules restaient inexpliquées chez la recourante. Il était en tout cas impossible de retenir un rapport causal entre l'activité professionnelle et les douleurs aux épaules. Même si la recourante avait effectué un travail impliquant vraisemblablement de lever les bras au dessus de la tête (sans déploiement de force), ceci ne pouvait pas être invoqué comme preuve de l'origine mécanique et professionnelle, médicalement plausible et justifiable des douleurs, dans la mesure où les activités professionnelles sollicitant l'articulation scapulaire ne provoquaient pas plus fréquemment des altérations dégénératives du tendon supra-épineux. En conclusion, les douleurs aux épaules n'étaient associées chronologiquement à l'activité professionnelle que dans un premier temps. La persistance des douleurs, 5 ans après la cessation de l'activité professionnelle, ne pouvait être expliquée que par des facteurs étrangers au travail non seulement dans la genèse mais également dans le caractère chronique des douleurs.</w:t>
      </w:r>
    </w:p>
    <w:p>
      <w:r>
        <w:rPr>
          <w:b/>
        </w:rPr>
        <w:t>E. 27</w:t>
      </w:r>
    </w:p>
    <w:p>
      <w:r>
        <w:t>Le 4 juin 2012, l'intimée a considéré, conformément à l'avis du Dr U__________, médecin spécialisé en chirurgie, qu'il n'était pas possible de retenir que les affections dont souffrait la recourante étaient d'origine professionnelle de manière nettement prépondérante. Le praticien mentionnait notamment la symétrie frappante des résultats, aussi bien au niveau du tendon supra-épineux que des altérations kystiques au niveau du tubercule, ce qui indiquait clairement une genèse dégénérative.</w:t>
      </w:r>
    </w:p>
    <w:p>
      <w:r>
        <w:rPr>
          <w:b/>
        </w:rPr>
        <w:t>E. 28</w:t>
      </w:r>
    </w:p>
    <w:p>
      <w:r>
        <w:t>Sur ce, la cause a été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LPGA s'appliquent à l'assurance- 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A/3919/2011 - 12/17 - modification du point de vue de leur contenu, de sorte que la jurisprudence développée à leur propos peut être reprise et appliquée (ATF 130 V 345 consid. 3). 3. Interjeté dans les formes et délai prévus par la loi, le recours est recevable (art. 56 à 61 LPGA). 4. Le litige porte sur le bien-fondé du refus de l'intimée de prendre en charge les troubles affectant les épaules de la recourante, au titre d'une maladie professionnelle. 5. Selon l'art. 6 al. 1 LAA, les prestations d'assurance sont allouées en cas d'accident professionnel, d'accident non professionnel et de maladie professionnelle. 6.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 U, p. 449 consid. 1a).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est réalisée lorsque la maladie professionnelle résulte à 75% au moins de l’activité professionnelle (ATF 126 V 186 consid. 2b, 119 V 201 consid. 2b). En d’autres termes, il faut que les cas d’atteintes pour un groupe professionnel déterminé soient quatre fois plus nombreux que ceux enregistrés dans la population en général (ATF 116 V 143, consid. 5c ; RAMA 2000 N° U 408, p. 407).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w:t>
      </w:r>
    </w:p>
    <w:p>
      <w:r>
        <w:t>A/3919/2011 - 13/17 - 7.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8.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w:t>
      </w:r>
    </w:p>
    <w:p>
      <w:r>
        <w:t>A/3919/2011 - 14/17 -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 permet pas encore de douter de l'objectivité de son appréciation ni de soupçonner une prévention à l'égard de l'assuré (ATF 125 V 353 consid. 3b/ee). 9. En l'espèce, il n'est pas discutable que les douleurs aux deux épaules dont souffre la recourante ne constituent pas des affections réputées maladie professionnelle au sens de l'art. 9 al. 1 LAA selon la liste exhaustive établie par le Conseil fédéral (annexe 1 à l'OLAA). Il y a dès lors lieu de déterminer si, en vertu de l'art. 9 al. 2 LAA, ces affections ont été causées de façon prépondérante par la profession d'ouvrière de production chez X___________ SA. 10. La recourante allègue, sur la base des rapports de ses médecins-traitants et de l'Institut universitaire romand de santé au travail, qu'elle souffre d'une maladie professionnelle. La répétition des mouvements, à une fréquence très élevée, serait de loin la cause principale de ses affections aux deux épaules. D'ailleurs, le fait que d'autres employés de son entreprise aient souffert d'affections semblables démontre de façon hautement vraisemblable que son activité était de nature à causer une maladie professionnelle. L'intimée considère quant à elle que les avis médicaux, tenus pour probants par la recourante, ne se fondent pas sur des bases épidémiologiques suffisantes. Il n'est ainsi pas établi qu'une activité professionnelle consistant à remplir des boîtes de crayons, aussi répétitive soit-elle, puisse être à l'origine des troubles somatiques de la recourante. 11. De l'avis des médecins de la recourante et de l'Institut universitaire romand de santé au travail, le diagnostic de tendinopathie des deux épaules est d'origine professionnelle, parce que l'activité de la recourante était hautement répétitive pour les deux bras. Ces praticiens ont par ailleurs expliqué que la charge n'était pas déterminante, en ce sens que la tendinopathie survient quel que soit le poids considéré. L'origine dégénérative de cette affection ne pouvait de toute façon pas être retenue, vu le jeune âge de l'assurée (33 ans) au moment où ce diagnostic a été</w:t>
      </w:r>
    </w:p>
    <w:p>
      <w:r>
        <w:t>A/3919/2011 - 15/17 - posé. S'agissant du diagnostic de capsulite rétractile, l'origine professionnelle ne pouvait pas être démontrée scientifiquement, étant relevé qu'il n'existait aucune étude solide permettant d'associer cette pathologie au type d'activité professionnelle exercée par la recourante. Pour cette affection, l'aspect dégénératif apparaissait néanmoins comme minime, vu l'âge de la patiente. Le médecin d'arrondissement de la SUVA a estimé que, même si la recourante avait effectué un travail impliquant vraisemblablement de lever les bras au dessus de la tête (sans déploiement de force), ceci ne pouvait pas être invoqué comme preuve de l'origine mécanique et professionnelle, médicalement plausible et justifiable des douleurs, dans la mesure où les activités professionnelles sollicitant l'articulation scapulaire ne provoquaient pas plus fréquemment des altérations dégénératives du tendon supra-épineux. En conclusion, les douleurs à l'épaule n'étaient associées chronologiquement à l'activité professionnelle que dans un premier temps. La persistance des douleurs à l'épaule, 5 ans après la cessation de l'activité professionnelle, ne pouvait donc être expliquée que par des facteurs étrangers au travail non seulement dans la genèse mais également dans le caractère chronique des douleurs. 12. Il ressort du présent dossier que les conclusions médicales sont diamétralement opposées, sans qu'il soit possible, au degré de la vraisemblance prépondérante, d'évaluer pourquoi un avis médical emporterait la conviction de la Cour de céans, plutôt qu'un autre. Les praticiens s'accordent néanmoins à dire que l'activité considérée était hautement répétitive, dans la mesure où la recourante devait remplir près de six boîtes de crayons par minute. La Cour de céans est d'avis que les divergences de vues constatées ne peuvent pas être résolues en accordant la prééminence à un avis médical plutôt qu'à un autre. 13.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t>A/3919/2011 - 16/17 - 14. Pour l'ensemble des motifs développés ci-dessus, et en particulier parce qu'aucune étude du poste de travail n'a été réalisée en l'espèce auprès de la société X___________ SA, la description y relative reposant exclusivement sur les indications fournies par la recourante, il convient de renvoyer le dossier à l’intimée afin qu’elle effectue une instruction complémentaire sous la forme d'une expertise, confiée à un expert indépendant, pour déterminer si les troubles de la recourante sont d'origine professionnelle ou dégénérative. La SUVA, s'est en effet contentée de faire analyser la situation par un médecin d'arrondissement de son établissement, sans investiguer réellement la situation, de sorte qu'il convient de lui retourner le dossier. A l'issue de cette mesure complémentaire, il appartiendra à l’intimée de rendre une nouvelle décision sur le droit aux prestations d'assurance. 15. Au vu de ce qui précède, le recours est partiellement admis et la cause est renvoyée à l'intimée pour mise en œuvre d'une expertise dans le sens des considérants. La recourante a droit à une indemnité à titre de participation à ses frais et dépens que la Cour fixe en l’espèce à 1'250 fr. (art. 89H al. 3 LPA ; art. 61 let. g LPGA). Pour le surplus, la procédure est gratuite (art. 89H LPA).</w:t>
      </w:r>
    </w:p>
    <w:p>
      <w:r>
        <w:t>A/3919/2011 - 17/17 -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