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ATAS/1061/2021 vom 18. Oktober 2021</w:t>
      </w:r>
    </w:p>
    <w:p>
      <w:r>
        <w:t>GE Cour de justice, 2021-10-18, FR</w:t>
      </w:r>
    </w:p>
    <w:p>
      <w:r>
        <w:rPr>
          <w:b/>
        </w:rPr>
        <w:t xml:space="preserve">Quelle: </w:t>
      </w:r>
      <w:r>
        <w:t>https://mcp.opencaselaw.ch/entscheid/ge_gerichte_ATAS_1061_2021</w:t>
      </w:r>
    </w:p>
    <w:p>
      <w:r>
        <w:t>FR: GE_GERICHTE ATAS/1061/2021 du 18 octobre 2021</w:t>
      </w:r>
    </w:p>
    <w:p>
      <w:r>
        <w:t>IT: GE_GERICHTE ATAS/1061/2021 del 18 ottobre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Dans la mesure où le présent recours était pendant devant la chambre de céans à cette date, il reste soumis à l'ancien droit (cf. art. 82a LPGA).</w:t>
      </w:r>
    </w:p>
    <w:p>
      <w:r>
        <w:rPr>
          <w:b/>
        </w:rPr>
        <w:t>E. 3</w:t>
      </w:r>
    </w:p>
    <w:p>
      <w:r>
        <w:t>Le recours, déposé dans les forme et délai prévus par la loi (art. 56ss LPGA), est recevable.</w:t>
      </w:r>
    </w:p>
    <w:p>
      <w:r>
        <w:rPr>
          <w:b/>
        </w:rPr>
        <w:t>E. 4</w:t>
      </w:r>
    </w:p>
    <w:p>
      <w:r>
        <w:t>Le litige porte sur le droit du recourant à des prestations d'invalidité.</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14a LAI précise que l’assuré qui présente depuis six mois au moins une incapacité de travail (art. 6 LPGA) de 50 % au moins a droit à des mesures de réinsertion préparant à la réadaptation professionnelle (mesures de réinsertion),</w:t>
      </w:r>
    </w:p>
    <w:p>
      <w:r>
        <w:t>A/2451/2020 - 7/12 - pour autant que celles-ci servent à créer les conditions permettant la mise en œuvre de mesures d’ordre professionnel (al. 1). Sont considérées comme mesures de réinsertion les mesures ciblées ci-après qui visent la réadaptation professionnelle : les mesures socioprofessionnelles (let. a);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w:t>
      </w:r>
    </w:p>
    <w:p>
      <w:r>
        <w:t>A/2451/2020 - 8/12 -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D'éventuelles difficultés linguistiques de la personne assurée constituent de manière générale un facteur étranger à l'invalidité (arrêt du Tribunal fédéral 9C_231/2020 du 17 juin 2020 consid. 4.1).</w:t>
      </w:r>
    </w:p>
    <w:p>
      <w:r>
        <w:t>Le revenu sans invalidité se détermine en établissant au degré de la vraisemblance prépondérante ce que l'intéressé aurait effectivement pu réaliser au moment</w:t>
      </w:r>
    </w:p>
    <w:p>
      <w:r>
        <w:t>A/2451/2020 - 9/12 -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ESS (ATF 126 V 75 consid. 3b).</w:t>
      </w:r>
    </w:p>
    <w:p>
      <w:r>
        <w:rPr>
          <w:b/>
        </w:rPr>
        <w:t>E. 9</w:t>
      </w:r>
    </w:p>
    <w:p>
      <w:r>
        <w:t>En l’espèce, une expertise a été réalisée pour déterminer la capacité de travail du recourant du point de vue cardiologique, et le rapport du Dr D______ comprend tous les éléments formels requis par la jurisprudence pour se voir reconnaître une valeur probante. Il convient ainsi de se rallier à ses conclusions quant à la possibilité pour le recourant d’exercer une activité adaptée, le SMR ayant précisé les limitations fonctionnelles à respecter dans ce cadre. Il n’existe du reste aucun rapport médical remettant en cause cet avis. Le Dr B______ n’a en effet pas exclu la reprise d’une activité, pas plus que le Dr F______, qui ne s’est pas prononcé sur ce point. Quant au Dr C______, il a également admis dans son rapport du 4 août 2019 que la reprise d’une activité était envisageable du point de vue médicothéorique. S’agissant des éléments avancés par ce généraliste plaidant en défaveur d’une reprise de l’activité, il faut noter que l’âge du recourant est très en-deçà du seuil à partir duquel le Tribunal fédéral admet qu’on peut parler d’âge avancé rendant irréaliste une reconversion professionnelle, soit 60 ans (arrêt du Tribunal fédéral 9C_612/2007 du</w:t>
      </w:r>
    </w:p>
    <w:p>
      <w:r>
        <w:rPr>
          <w:b/>
        </w:rPr>
        <w:t>E. 14</w:t>
      </w:r>
    </w:p>
    <w:p>
      <w:r>
        <w:t>juillet 2008 consid. 5.2). En ce qui concerne le manque de maîtrise du français, il s’agit d’un facteur étranger à l’invalidité, comme l’a relevé l’intimé. Au plan médical, le SMR a également tenu compte des douleurs lombaires du recourant, puisqu’il a retenu des limitations fonctionnelles en lien avec cette atteinte. Enfin, l’occlusion de l’artère sous-clavière gauche dont le médecin traitant a fait état en septembre 2020, déjà suspectée par le Dr D______, a été traitée par la pose d’un stent le 9 octobre 2020, de sorte qu'elle ne fait pas obstacle à la reprise d'une activité adaptée.</w:t>
      </w:r>
    </w:p>
    <w:p>
      <w:r>
        <w:t>A/2451/2020 - 10/12 - Cependant, la possibilité d’une telle atteinte avait conduit l'expert cardiologue à émettre une réserve temporaire quant au début de la reprise d’une activité professionnelle. Eu égard aux indications du Dr D______, le début de la réadaptation doit ainsi être fixé après le traitement réalisé, soit en octobre 2020. Partant, la chambre de céans retiendra que c’est à cette date que le recourant a recouvré une capacité de travail complète dans une activité adaptée. Le calcul du degré d’invalidité que le recourant présente depuis l’exigibilité de la reprise d’une activité adaptée auquel l’intimé a procédé ne prête quant à lui pas flanc à la critique. En effet, il se fonde pour le revenu sans invalidité sur le salaire indiqué par l’employeur, augmenté de l’indemnité de vacances prévue par la convention collective de travail applicable dans le secteur d’activité du recourant, et pour le revenu après invalidité sur le revenu statistique tiré d’activités simples et répétitives, dont la jurisprudence admet l'application en l’absence d’activité effectivement réalisée. L’abattement de 25 %, correspondant au taux maximal, il ne peut pas être revu à la hausse. Le taux de 39.6 % résultant de la comparaison de ces revenus, arrondi selon les règles mathématiques à 40 % (ATF 130 V 121 consid. 3), ouvre bien droit à un quart de rente. 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du règlement sur l’assurance-invalidité du</w:t>
      </w:r>
    </w:p>
    <w:p>
      <w:r>
        <w:rPr>
          <w:b/>
        </w:rPr>
        <w:t>E. 17</w:t>
      </w:r>
    </w:p>
    <w:p>
      <w:r>
        <w:t>janvier 1961 (RAI - RS 831.201).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 Partant, le recourant a droit à une rente entière d'invalidité du 1er janvier 2019, soit après le délai de carence d'une année prévu par l'art. 28 LAI, jusqu'au 31 janvier 2021, soit trois mois après la pose du stent, conformément à la réserve émise par le Dr D______. Dès le 1er février 2021, il a droit à un quart de rente. 10. S’agissant du droit à des mesures de réadaptation, force est de constater que la motivation de leur refus par l’intimé est pour le moins sommaire, ce qui pourrait constituer une violation du droit d’être entendu garanti par l’art. 29 al. 2 de la Constitution fédérale de la Confédération suisse du 18 avril 1999 (Cst. - RS 101) (arrêt du Tribunal fédéral 9C_877/2014 du 5 mai 2015 consid. 3.3 et les références). Quoi qu’il en soit, pour autant qu'elle ne soit pas d'une gravité particulière, cette violation est réparée lorsque la partie lésée a la possibilité de s'exprimer devant une autorité de recours jouissant d'un plein pouvoir d'examen,</w:t>
      </w:r>
    </w:p>
    <w:p>
      <w:r>
        <w:t>A/2451/2020 - 11/12 - comme c’est le cas de la chambre de céans (arrêt du Tribunal fédéral 9C_181/2013 du 20 août 2013 consid. 3.3). En l’espèce, les seules mesures qui pourraient entrer en considération sont l'orientation professionnelle et l'aide au placement. En effet, le recourant n'ayant pas suivi de formation professionnelle, il ne peut en particulier pas prétendre à un reclassement. Le droit à l'orientation professionnelle selon l'art. 15 LAI suppose que l'assuré est capable en lui-même de faire le choix d'une profession ou d'une nouvelle orientation professionnelle, mais qu’à la suite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(arrêt du Tribunal fédéral 9C_236/2012 du 15 février 2013 consid. 3.5). Dans le cas d'un assuré dont l'activité après invalidité devait être adaptée à des mesures classiques d'épargne du rachis – soit des restrictions similaires à celles qui s'imposent dans le cas d'espèce – le Tribunal fédéral a retenu que le caractère relativement anodin de l'atteinte à la santé n'exigeait pas une mesure d'orientation complète, les propositions formulées par le service de réadaptation de l'assurance- invalidité étaient suffisantes, et que le marché du travail équilibré présentait un éventail suffisamment large d'activités légères, dont un nombre significatif étaient adaptées et accessibles sans aucune formation particulière, si bien qu'il n'existait guère d'obstacles à l'exercice d'un emploi adapté (arrêt du Tribunal fédéral 9C_534/2010 du 10 février 2011 consid. 4.3). Tel est également le cas en l'espèce, le revenu après invalidité correspondant au salaire statistique tiré d'activités dont le niveau n'exige pas de formation préalable. Quant à l'aide au placement, si la capacité de travail consiste uniquement dans le fait que seules des tâches faciles peuvent être exigées de l’assuré, il doit être en outre motivé par une limitation spécifique liée à la santé. L’invalidité liée à cette prestation fonde ce droit lorsque le handicap entraîne des problèmes dans la recherche d’emploi. Tel est par exemple le cas lorsqu'un entretien d'embauche est impossible, par exemple en raison d'une mobilité insuffisante ou d'un mutisme, ou lorsque l'employeur doit être informé des aptitudes et des limites de l'assuré afin que ce dernier ait la moindre chance d'obtenir le poste visé (arrêt du Tribunal fédéral 8C_641/2015 du 12 janvier 2016 consid. 2). Ces conditions ne sont en l'espèce pas réalisées, de sorte que le recourant ne peut pas non plus prétendre à cette prestation. 11. Le recours est partiellement admis. Le recourant n'étant pas représenté, il n'a pas droit à des dépens. La procédure en matière d'assurance-invalidité n'étant pas gratuite (art. 69 al. 1bis LAI), l'intimé supporte l'émolument de procédure de CHF 200.-.</w:t>
      </w:r>
    </w:p>
    <w:p>
      <w:r>
        <w:t>A/2451/2020 - 12/12 -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