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ATAS/1060/2022 vom 29. November 2022</w:t>
      </w:r>
    </w:p>
    <w:p>
      <w:r>
        <w:t>GE Cour de justice, 2022-11-29, FR</w:t>
      </w:r>
    </w:p>
    <w:p>
      <w:r>
        <w:rPr>
          <w:b/>
        </w:rPr>
        <w:t xml:space="preserve">Quelle: </w:t>
      </w:r>
      <w:r>
        <w:t>https://mcp.opencaselaw.ch/entscheid/ge_gerichte_ATAS_1060_2022</w:t>
      </w:r>
    </w:p>
    <w:p>
      <w:r>
        <w:t>FR: GE_GERICHTE ATAS/1060/2022 du 29 novembre 2022</w:t>
      </w:r>
    </w:p>
    <w:p>
      <w:r>
        <w:t>IT: GE_GERICHTE ATAS/1060/2022 del 29 novembre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A/3558/2022 ATAS/1060/2022 COUR DE JUSTICE Chambre des assurances sociales Arrêt du 29 novembre 2022 3ème Chambre</w:t>
      </w:r>
    </w:p>
    <w:p>
      <w:r>
        <w:t>En la cause AXA VIE, sise General-Guisan-Strasse 40, WINTERTHUR</w:t>
      </w:r>
    </w:p>
    <w:p>
      <w:r>
        <w:t>recourante</w:t>
      </w:r>
    </w:p>
    <w:p>
      <w:r>
        <w:t>contre A______, sise ______, CHÊNE-BOURG</w:t>
      </w:r>
    </w:p>
    <w:p>
      <w:r>
        <w:t>intimée</w:t>
      </w:r>
    </w:p>
    <w:p>
      <w:r>
        <w:t>A/3558/2022 - 2/2 - Vu le commandement de payer 22 250 842 B adressé – sur réquisition de poursuite d’AXA VIE SA (ci-après AXA) - à la société A______ (ci-après : la société), portant sur le montant de 17'538.75, des frais d’encaissement de CHF 600.- et des frais de poursuite de CHF 90.-, auquel la société a fait opposition ; Vu la demande en mainlevée de l’opposition déposée le 25 octobre 2022 par AXA auprès de la Cour de céans ; Attendu par courrier du 23 novembre 2022, la demanderesse a informé la Cour de céans que, la société ayant retiré en totalité l’opposition formée contre le commandement de payer 22 250 842 B, elle-même retirait, par conséquent, sa demande de mainlevée ;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de la demande de mainlevée.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