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ATAS/1060/2021 vom 18. Oktober 2021</w:t>
      </w:r>
    </w:p>
    <w:p>
      <w:r>
        <w:t>GE Cour de justice, 2021-10-18, FR</w:t>
      </w:r>
    </w:p>
    <w:p>
      <w:r>
        <w:rPr>
          <w:b/>
        </w:rPr>
        <w:t xml:space="preserve">Quelle: </w:t>
      </w:r>
      <w:r>
        <w:t>https://mcp.opencaselaw.ch/entscheid/ge_gerichte_ATAS_1060_2021</w:t>
      </w:r>
    </w:p>
    <w:p>
      <w:r>
        <w:t>FR: GE_GERICHTE ATAS/1060/2021 du 18 octobre 2021</w:t>
      </w:r>
    </w:p>
    <w:p>
      <w:r>
        <w:t>IT: GE_GERICHTE ATAS/1060/2021 del 18 ottobre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Dans la mesure où le recours était pendant devant la chambre de céans à cette date, il reste soumis à l'ancien droit (cf. art. 82a LPGA). L’accident étant survenu avant le 1er janvier 2017, la modification du 25 septembre 2015 de la LAA entrée en vigueur à cette date n’est pas applicable (cf. dispositions transitoires relatives à la modification du 25 septembre 2015; arrêt du Tribunal fédéral 8C_662/2016 du 23 mai 2017 consid. 2.2).</w:t>
      </w:r>
    </w:p>
    <w:p>
      <w:r>
        <w:rPr>
          <w:b/>
        </w:rPr>
        <w:t>E. 3</w:t>
      </w:r>
    </w:p>
    <w:p>
      <w:r>
        <w:t>Le recours, interjeté dans les forme et délai prévus par la loi (art. 56ss LPGA), est recevable.</w:t>
      </w:r>
    </w:p>
    <w:p>
      <w:r>
        <w:rPr>
          <w:b/>
        </w:rPr>
        <w:t>E. 4</w:t>
      </w:r>
    </w:p>
    <w:p>
      <w:r>
        <w:t>Le litige porte sur le droit aux prestations pour accident de la recourante dès le 1er août 2019.</w:t>
      </w:r>
    </w:p>
    <w:p>
      <w:r>
        <w:rPr>
          <w:b/>
        </w:rPr>
        <w:t>E. 5</w:t>
      </w:r>
    </w:p>
    <w:p>
      <w:r>
        <w:t>La notion d'invalidité définie à l'art. 8 LPGA est en principe identique dans l'assurance-accidents, l'assurance militaire et l'assurance-invalidité (ATF 126 V 288 consid. 2d;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w:t>
      </w:r>
    </w:p>
    <w:p>
      <w:r>
        <w:t>A/1003/2020 - 16/25 -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6</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7</w:t>
      </w:r>
    </w:p>
    <w:p>
      <w:r>
        <w:t>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b.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w:t>
      </w:r>
    </w:p>
    <w:p>
      <w:r>
        <w:t>A/1003/2020 - 17/25 - d'une mesure thérapeutique ne confèrent à un assuré le droit de recevoir de tels soins (arrêt du Tribunal fédéral des assurances U 244/04 du 20 mai 2005 consid. 2). c. 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w:t>
      </w:r>
    </w:p>
    <w:p>
      <w:r>
        <w:rPr>
          <w:b/>
        </w:rPr>
        <w:t>E. 8</w:t>
      </w:r>
    </w:p>
    <w:p>
      <w:r>
        <w:t>La responsabilité de l'assureur-accidents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 L'art. 6 al. 3 LAA prévoit que l'assurance alloue en outre ses prestations pour les lésions causées à l'assuré victime d'un accident lors du traitement médical au sens de l'art. 10 LAA. Selon cette disposition légale, l'assurance ne doit toutefois prendre en charge que les lésions qui sont dans un rapport de causalité naturelle et adéquat avec le traitement entraîné par l'accident (arrêt du Tribunal fédéral 8C_707/2013 du 19 juin 2014 consid. 5.2.1).</w:t>
      </w:r>
    </w:p>
    <w:p>
      <w:r>
        <w:rPr>
          <w:b/>
        </w:rPr>
        <w:t>E. 9</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(arrêt du Tribunal fédéral 8C_204/2019 du 12 mai 2020 consid. 6.1). Il faut que les troubles à la nuque ou à la colonne cervicale se manifestent dans la période de 72 heures suivant l'accident, mais il n'est en revanche pas nécessaire que les autres troubles caractéristiques du tableau clinique apparaissent dans ce laps de temps (arrêt du Tribunal fédéral 8C_450/2007 du 17 janvier 2008 consid. 6).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w:t>
      </w:r>
    </w:p>
    <w:p>
      <w:r>
        <w:t>A/1003/2020 - 18/25 - méthodes utilisées sont reconnues scientifiquement (ATF 138 V 248 consid. 5.1). Selon la jurisprudence, la seule constatation de troubles neuropsychologiques ne suffit pas pour établir la présence d'une atteinte organique (arrêt du Tribunal fédéral 8C_427/2013 du 19 mars 2014 consid. 5.2).</w:t>
      </w:r>
    </w:p>
    <w:p>
      <w:r>
        <w:rPr>
          <w:b/>
        </w:rPr>
        <w:t>E. 10</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 Dans le domaine de l'assurance-accidents obligatoire, en cas d'atteinte à la santé physique, la causalité adéquate se recoupe largement avec la causalité naturelle, de sorte qu'elle ne joue pratiquement pas de rôle (arrêt du Tribunal fédéral 8C_416/2019 du 15 juillet 2020 consid. 3.2).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En présence de troubles psychiques apparus après un accident, on examine les critères de la causalité adéquate en excluant les aspects psychiques, tandis qu'en présence d'un traumatisme de type « coup du lapin » à la colonne cervicale, d'un traumatisme analogue à la colonne cervicale ou d'un traumatisme cranio-cérébral, on peut renoncer à distinguer les éléments physiques des éléments psychiques (arrêt du Tribunal fédéral 8C_339/2007 du 6 mai 2008 consid. 2.1 et les références). Lorsque des troubles neuropsychologiques apparaissent en l'absence de traumatisme cranio-cérébral, la notion de causalité adéquate s'analyse selon la jurisprudence applicable aux troubles psychiques (Irène HOFER in Basler Kommentar zum UVG, 2019, n. 84 ad art. 6 LAA; cf. pour exemple arrêt du Tribunal fédéral 8C_705/2020 du 28 avril 2021).</w:t>
      </w:r>
    </w:p>
    <w:p>
      <w:r>
        <w:rPr>
          <w:b/>
        </w:rPr>
        <w:t>E. 11</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les accidents de</w:t>
      </w:r>
    </w:p>
    <w:p>
      <w:r>
        <w:t>A/1003/2020 - 19/25 -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w:t>
      </w:r>
    </w:p>
    <w:p>
      <w:r>
        <w:rPr>
          <w:b/>
        </w:rPr>
        <w:t>E. 12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w:t>
      </w:r>
    </w:p>
    <w:p>
      <w:r>
        <w:rPr>
          <w:b/>
        </w:rPr>
        <w:t>E. 13</w:t>
      </w:r>
    </w:p>
    <w:p>
      <w:r>
        <w:t>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ne peut de toute façon pas être qualifié d'adéquat (ATF 135 V 465 consid. 5.1). En revanche, le juge ne peut reconnaître un rapport de causalité adéquate avant que les questions de fait relatives à la nature des troubles psychiques en cause et à leur causalité naturelle soient élucidées. Le Tribunal fédéral a déjà eu l'occasion de dire qu'il n'est pas admissible de reconnaître le caractère adéquat d'éventuels troubles psychiques d'un assuré avant que les</w:t>
      </w:r>
    </w:p>
    <w:p>
      <w:r>
        <w:t>A/1003/2020 - 20/25 - questions de fait relatives à la nature de ces troubles (diagnostic, caractère invalidant) et à leur causalité naturelle avec l'accident en cause soient élucidées au moyen d'une expertise psychiatrique concluante.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(ATF 147 V 207 consid. 6.1 et les références).</w:t>
      </w:r>
    </w:p>
    <w:p>
      <w:r>
        <w:rPr>
          <w:b/>
        </w:rPr>
        <w:t>E. 14</w:t>
      </w:r>
    </w:p>
    <w:p>
      <w:r>
        <w:t>a. Pour pouvoir examiner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w:t>
      </w:r>
    </w:p>
    <w:p>
      <w:r>
        <w:t>A/1003/2020 - 21/25 -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15</w:t>
      </w:r>
    </w:p>
    <w:p>
      <w:r>
        <w:t>En l'espèce, il convient en préambule de relever qu'au plan orthopédique, l'expertise du Dr L______ – à laquelle la Dresse K______ s'était largement ralliée – correspond aux réquisits jurisprudentiels précités, et doit ainsi se voir reconnaître valeur probante. La survenance de douleurs dans un délai inférieur à deux heures signalée par la généraliste de la recourante ne suffit pas à s'écarter des conclusions du Dr L______, dès lors que la diminution de rendement qu'il a admise permet à la recourante d'aménager des pauses supplémentaires afin d'éviter de devoir maintenir une position de manière prolongée. Le volet orthopédique de l'expertise du CEMEDEX conclut à une capacité de travail de 50 %, légèrement inférieure aux cinq heures admises par le Dr L______, les deux experts se rejoignant toutefois sur la diminution de rendement de 10 %. On s'en tiendra dans la présente cause à l'appréciation du Dr L______, dès lors que ce dernier a établi son avis en fonction des seules suites de l'accident dont répond l'intimée, tandis que le rapport du CEMEDEX rédigé à l'attention de l'OAI évalue la situation de manière globale, en intégrant également à son appréciation les conséquences de l'accident de 2016, que l'intimée n'assure pas. Le taux de l'indemnité pour atteinte à l'intégrité fixé par le Dr L______ ne prête par ailleurs pas flanc à la critique, et la recourante ne le conteste pas. Il doit ainsi également être confirmé.</w:t>
      </w:r>
    </w:p>
    <w:p>
      <w:r>
        <w:rPr>
          <w:b/>
        </w:rPr>
        <w:t>E. 16</w:t>
      </w:r>
    </w:p>
    <w:p>
      <w:r>
        <w:t>En ce qui concerne les troubles de la sphère neuropsychologique, dont la prise en charge est litigieuse, la chambre de céans relève ce qui suit.</w:t>
      </w:r>
    </w:p>
    <w:p>
      <w:r>
        <w:t>A/1003/2020 - 22/25 - L'intimée se fonde notamment sur le rapport du Dr H______ pour exclure un lien de causalité naturelle entre l'accident et les troubles neuropsychologiques, dès lors que cet expert ne retient aucun diagnostic psychique qui expliquerait de tels troubles. Or, cette expertise ne peut pas se voir reconnaître valeur probante – sans même qu'il soit besoin d'examiner si elle correspond aux nouvelles exigences développées par le Tribunal fédéral pour déterminer le caractère invalidant de troubles psychiques (cf. ATF 141 V 281 consid. 3.6 et ATF 143 V 409 consid. 4.5). Elle n'est en effet guère motivée, et pour le moins lacunaire. On s'étonne en particulier qu'elle écarte tout signe d’agoraphobie ou de phobie sociale, alors même que la recourante a signalé la peur éprouvée dans la foule. Le Dr I______, avec lequel l'expert psychiatre était pourtant censé poser ses conclusions à l'issue d'un consilium, a du reste également mentionné de tels éléments. Le Dr H______ ne discute par ailleurs aucunement les motifs qui lui permettent de réfuter les diagnostics retenus par la Dresse F______ et par plusieurs autres médecins et spécialistes, et ne décrit pas l’évolution de l’état de santé psychique de la recourante depuis l’accident. Compte tenu de la persistance des cauchemars rapportés par la recourante, il aurait à tout le moins dû exposer pourquoi il écartait un syndrome de stress post-traumatique. Enfin, il conclut à l'absence d'atteinte à la santé psychique en raison des ressources et de l'intelligence de la recourante. À l’évidence, ces attributs ne sont pas incompatibles avec la survenance d'une telle pathologie, quand bien même ils peuvent en atténuer l’incidence sur les capacités fonctionnelles d’un assuré. Enfin, le Dr H______ a admis une anxiété exacerbée, de sorte qu'on comprend mal l'exclusion de tout trouble psychique. S'agissant de l'expertise réalisée par les spécialistes du CEMEDEX, elle paraît a priori contenir tous les éléments formels permettant selon la jurisprudence de se voir reconnaître une pleine valeur probante, malgré la réserve en lien avec les conclusions orthopédiques, liée à la couverture d'assurance. La chambre de céans observe néanmoins que ses conclusions quant à la capacité de travail devront être clarifiées, dès lors que la diminution de rendement admise pour motifs neuropsychologiques est tour à tour fixée à 20 % et à 10 %, de même que la limitation induite par les troubles psychiques. Malgré cette palinodie, l’expertise établit de manière convaincante que la capacité de travail de la recourante reste limitée par des troubles neuropsychologiques après le 1er juillet 2019. Cela étant, aucun élément médical au dossier ne se prononce de manière concluante sur le lien de causalité naturelle entre ces troubles et l'accident. Le Dr D______ a uniquement émis certaines hypothèses sur ce point, à l'instar de la Dresse E______. M. J______ a quant à lui qualifié ce lien de vraisemblable, tout en évoquant plusieurs causes possibles pour l'origine des troubles, sans indiquer laquelle paraissait prépondérante, de sorte que son rapport n'atteint pas le degré probatoire requis en assurances sociales. Le Dr M______, qui a exclu un tel lien en raison du caractère normal de l'IRM et du rapport du Dr H______, ne peut pas non plus être suivi, eu égard à l'absence de valeur probante de cette première expertise</w:t>
      </w:r>
    </w:p>
    <w:p>
      <w:r>
        <w:t>A/1003/2020 - 23/25 - psychiatrique et du caractère par trop succinct de son avis. On soulignera en outre que ce médecin est généraliste et non neurologue, et prend position sur des questions qui ne relèvent pas de son domaine de compétence. Quant à la Dresse Q______ et à M. R______, ils ne se sont pas prononcés sur ce point, dès lors qu'il est sans pertinence pour l'assurance-invalidité. La Dresse F______ a pour sa part préconisé la mise en œuvre d’une expertise pour résoudre cette question. Ainsi, l'existence de ce lien de causalité naturelle n'est ni démontrée ni infirmée au degré de la vraisemblance prépondérante. Or, le cas d'espèce ne souffre pas de laisser cette question ouverte, dès lors qu'on ne peut d'emblée nier un rapport de causalité adéquate entre l'accident et les troubles psychiques et neuropsychologiques. Partant, la chambre de céans n'est pas en mesure de trancher le degré d'invalidité et l'indemnité pour atteinte à l'intégrité de la recourante. Lorsque le juge des assurances sociales constate qu'une instruction est nécessaire, il doit en principe mettre lui-même en œuvre une expertise (ATF 137 V 210 consid. 4.4.1.3 et 4.4.1.4). Un renvoi à l'administration reste possible, notamment quand elle n'a pas du tout instruit une question, lorsqu'il s'agit de préciser un point de l'expertise ordonnée par l'administration ou de demander un complément à l'expert (ATF 137 V 210 consid. 4.4.1.3 et 4.4.1.4). Tel est le cas en l'espèce, l'intimée n'ayant pas investigué la question de la causalité naturelle entre les troubles neuropsychologiques et l'accident. On relèvera de plus que la question d'un tel lien entre l'accident et les troubles psychiques – auxquels pourraient être imputés les troubles neuropsychologiques – n'a pas non plus fait l'objet d'une conclusion formelle. Il y aura également lieu de répondre à cette seconde question si l’instruction à venir établit que les troubles neuropsychologiques sont en lien avec les atteintes psychiques. Il y a ainsi lieu de renvoyer la cause à l'intimée pour mise en œuvre d'une expertise à cet effet, dans le respect des exigences jurisprudentielles en matière de droit d'être entendu (ATF 137 V 210 consid. 3.2.4.6 et 3.2.4.9). Au vu des circonstances, il convient de préciser que cette question pourrait faire l'objet d'un complément d'expertise auprès des experts du CEMEDEX, sous réserve d’un consensus des parties sur leur désignation. Ceux-ci devront alors également être invités à corriger les imprécisions relevées plus haut au sujet de la capacité de travail de la recourante. À l'issue de l'instruction, l'intimée devra rendre une nouvelle décision sur le degré d'invalidité de la recourante et l'indemnité pour atteinte à l'intégrité.</w:t>
      </w:r>
    </w:p>
    <w:p>
      <w:r>
        <w:rPr>
          <w:b/>
        </w:rPr>
        <w:t>E. 17</w:t>
      </w:r>
    </w:p>
    <w:p>
      <w:r>
        <w:t>S'agissant de la prise en charge du traitement postérieurement au 1er août 2019, à laquelle conclut la recourante, on rappellera que l'intimée a admis le remboursement des séances de physiothérapie pendant encore une année après cette date. Or, l'état de la recourante était au plan physique stabilisé au plus tard au 1er août 2020. En effet, le traitement était à cette époque conservateur et ne permettait pas d'escompter une amélioration sensible de son état de santé. La pose</w:t>
      </w:r>
    </w:p>
    <w:p>
      <w:r>
        <w:t>A/1003/2020 - 24/25 - d'une prothèse du genou évoquée par les experts du CEMEDEX ne paraît pour l'heure pas être une option thérapeutique concrètement envisagée, si bien que la possibilité qu'une telle intervention soit pratiquée dans le futur ne suffit pas à nier la stabilisation actuelle de l'état de santé au plan orthopédique. Au plan psychique, aucun rapport médical n'expose en quoi la poursuite de la psychothérapie serait susceptible d'entraîner des progrès notables de l'état de santé de la recourante, a fortiori si l’on se réfère à la conclusion de l’expert du CEMEDEX, qui ne retient aucune incapacité de travail sur ce plan depuis avril 2018. Du point de vue neuropsychologique, M. J______ a indiqué que l'état de la recourante n'était guère susceptible d'amélioration en août 2017 déjà, et M. R______ n'a pas proposé de traitement particulier. Partant, les conditions de la prise en charge de ce traitement – qui prend en principe fin lorsque naît le droit à la rente, comme on l'a vu – ne sont pas remplies. La décision de l'intimée doit ainsi être confirmée en tant qu'elle met un terme à la prise en charge du traitement médical au 31 juillet 2019 et à la physiothérapie au 31 juillet 2020.</w:t>
      </w:r>
    </w:p>
    <w:p>
      <w:r>
        <w:rPr>
          <w:b/>
        </w:rPr>
        <w:t>E. 18</w:t>
      </w:r>
    </w:p>
    <w:p>
      <w:r>
        <w:t>La recourante obtenant partiellement gain de cause, elle a droit à des dépens qui seront fixés à CHF 2'500.- (art. 61 let. g LPGA). Pour le surplus, la procédure est gratuite (art. 61 let. a LPGA dans sa teneur jusqu'au 31 décembre 2020).</w:t>
      </w:r>
    </w:p>
    <w:p>
      <w:r>
        <w:t>A/1003/2020 - 25/25 -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