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ATAS/1060/2018 vom 19. November 2018</w:t>
      </w:r>
    </w:p>
    <w:p>
      <w:r>
        <w:t>GE Cour de justice, 2018-11-19, FR</w:t>
      </w:r>
    </w:p>
    <w:p>
      <w:r>
        <w:rPr>
          <w:b/>
        </w:rPr>
        <w:t xml:space="preserve">Quelle: </w:t>
      </w:r>
      <w:r>
        <w:t>https://mcp.opencaselaw.ch/entscheid/ge_gerichte_ATAS_1060_2018</w:t>
      </w:r>
    </w:p>
    <w:p>
      <w:r>
        <w:t>FR: GE_GERICHTE ATAS/1060/2018 du 19 novembre 2018</w:t>
      </w:r>
    </w:p>
    <w:p>
      <w:r>
        <w:t>IT: GE_GERICHTE ATAS/1060/2018 del 19 novembre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Interjeté le 5 décembre 2017 contre la décision litigieuse du 7 novembre 2017, le recours a été formé en temps utile (art. 60 al. 1 LPGA). Il satisfait aux exigences de forme et de contenu – peu élevées – prévues par l’art. 61 let. b LPGA (cf. aussi art. 89B LPA).</w:t>
      </w:r>
    </w:p>
    <w:p>
      <w:r>
        <w:rPr>
          <w:b/>
        </w:rPr>
        <w:t>E. 3</w:t>
      </w:r>
    </w:p>
    <w:p>
      <w:r>
        <w:t>Les modifications de la loi fédérale sur l'assurance-invalidité du 21 mars 2003 (4ème révision), du 6 octobre 2005 (5ème révision) et du 18 mars 2011 (révision 6a), entrées en vigueur le 1er janvier 2004, respectivement, le 1er janvier 2008 et le 1er janvier 2012, ont entraîné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w:t>
      </w:r>
    </w:p>
    <w:p>
      <w:r>
        <w:t>A/4825/2017 - 15/24 - d'évaluation de l'invalidité (arrêt du Tribunal fédéral des assurances I 249/05 du 11 juillet 2006 consid. 2.1 et Message concernant la modification de la loi fédérale sur l'assurance-invalidité du 22 juin 2005, FF 2005 p. 4322).</w:t>
      </w:r>
    </w:p>
    <w:p>
      <w:r>
        <w:rPr>
          <w:b/>
        </w:rPr>
        <w:t>E. 4</w:t>
      </w:r>
    </w:p>
    <w:p>
      <w:r>
        <w:t>Le litige porte sur le droit de la recourante à une rente d'invalidité, singulièrement sur l'existence d'une aggravation de son état de santé depuis la décision de l'intimé du 29 octobre 2009.</w:t>
      </w:r>
    </w:p>
    <w:p>
      <w:r>
        <w:rPr>
          <w:b/>
        </w:rPr>
        <w:t>E. 5</w:t>
      </w:r>
    </w:p>
    <w:p>
      <w:r>
        <w:t>Selon l’art. 17 al. 1 LPGA, si le taux d’invalidité du bénéficiaire de la rente subit une modification notable, la rente est, d’office ou sur demande, révisée pour l’avenir, à savoir augmentée ou réduite en conséquence, ou encore supprimée. L’art. 17 al. 1 LPGA vise la situation dans laquelle une modification de l'état de fait déterminante sous l'angle du droit à la prestation (inexactitude ultérieure sur les faits) survient après le prononcé d'une décision initiale exempte d'erreur. Dans ce cas, une adaptation peut, le cas échéant, être effectuée dans le cadre d'une révision de la rente au sens de cette disposition (ATF 135 V 215 consid. 4.1; ATF 127 V 10 consid. 4b).</w:t>
      </w:r>
    </w:p>
    <w:p>
      <w:r>
        <w:rPr>
          <w:b/>
        </w:rPr>
        <w:t>E. 5.4</w:t>
      </w:r>
    </w:p>
    <w:p>
      <w:r>
        <w:t>; ATF 130 V 343 consid. 3.5.2).</w:t>
      </w:r>
    </w:p>
    <w:p>
      <w:r>
        <w:rPr>
          <w:b/>
        </w:rPr>
        <w:t>E. 6</w:t>
      </w:r>
    </w:p>
    <w:p>
      <w:r>
        <w:t>a.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b.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(ATF133 V108 ; ATF 130 V 71) pour apprécier si dans l'intervalle est intervenue une modification sensible du degré d'invalidité justifiant désormais l'octroi d'une rente. Il convient ici de relever que l’entrée en vigueur de l’art. 17 LPGA, le 1er janvier 2003, n’a pas modifié les principes jurisprudentiels développés sous le régime de l’ancien art. 41 LAI, de sorte que ceux-ci demeurent applicables par analogie (ATF 130 V 343 consid. 3.5). c.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w:t>
      </w:r>
    </w:p>
    <w:p>
      <w:r>
        <w:t>A/4825/2017 - 16/24 -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w:t>
      </w:r>
    </w:p>
    <w:p>
      <w:r>
        <w:rPr>
          <w:b/>
        </w:rPr>
        <w:t>E. 7</w:t>
      </w:r>
    </w:p>
    <w:p>
      <w:r>
        <w:t>a.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 révision procédurale est soumise aux délais prévus par l’art. 67 de la loi fédérale sur la procédure administrative (PA), applicable par renvoi de l’art. 55 al. 1 LPGA, à savoir un délai relatif de nonante jours dès la découverte du motif de révision et un délai absolu de dix ans qui commence à courir avec la notification de la décision (arrêt du Tribunal fédéral du 3 août 2007, I 528/06 consid. 4.2 et les références). b. Selon l’art. 53 al. 2 LPGA, l’assureur peut revenir sur les décisions ou les décisions sur opposition formellement passées en force lorsqu’elles sont manifestement erronées et que leur rectification revêt une importance notable (reconsidération). Si la révision procédurale et la reconsidération ont pour point commun de remédier à l’inexactitude initiale d’une décision ("anfängliche tatsächliche Unrichtigkeit" ; cf. Ueli KIESER, 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(cf. ATAS/1163/2014 ; Ueli KIESER, ATSG- Kommentar), 3ème éd. 2015, n. 18 ad art. 17 LPGA). L'administration n'est pas tenue de reconsidérer les décisions qui remplissent les conditions fixées; elle en a simplement la faculté et ni l'assuré ni le juge ne peut l'y</w:t>
      </w:r>
    </w:p>
    <w:p>
      <w:r>
        <w:t>A/4825/2017 - 17/24 -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9</w:t>
      </w:r>
    </w:p>
    <w:p>
      <w:r>
        <w:t>a. Pour pouvoir calculer le degré d'invalidité, l'administration (ou le juge, s'il y a eu un recours) a besoin de documents que le médecin, éventuellement aussi d'autres spécialistes, doivent lui fournir (ATF 125 V 261 consid. 4). La tâche du médecin</w:t>
      </w:r>
    </w:p>
    <w:p>
      <w:r>
        <w:t>A/4825/2017 - 18/24 -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w:t>
      </w:r>
    </w:p>
    <w:p>
      <w:r>
        <w:t>A/4825/2017 - 19/24 -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Les constatations médicales peuvent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w:t>
      </w:r>
    </w:p>
    <w:p>
      <w:r>
        <w:t>A/4825/2017 - 20/24 -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 arrêt du Tribunal fédéral 9C_512/2013 du 16 janvier 2014 consid. 5.2.1).</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w:t>
      </w:r>
    </w:p>
    <w:p>
      <w:r>
        <w:t>A/4825/2017 - 21/24 - fédérale de la Confédération suisse du 18 avril 1999 (RS 101 - Cst; SVR 2001 IV n° 10 p. 28 consid. 4b), la jurisprudence rendue sous l’empire de l’art. 4 aCst. étant toujours valable (ATF 124 V 90 consid. 4b; ATF 122 V 157 consid. 1d).</w:t>
      </w:r>
    </w:p>
    <w:p>
      <w:r>
        <w:rPr>
          <w:b/>
        </w:rPr>
        <w:t>E. 11</w:t>
      </w:r>
    </w:p>
    <w:p>
      <w:r>
        <w:t>En l’espèce, pour déterminer s’il y a eu une modification notable du degré d’invalidité de la recourante, il convient de comparer la situation telle qu’elle se présentait au moment de la décision litigieuse, soit au 7 novembre 2017, avec les circonstances qui prévalaient au moment de la décision du 29 octobre 2009. a. Il ressort de l’instruction menée par l’intimée en amont de la décision du 29 octobre 2009 que les cervico-dorsalgies chroniques et les troubles statiques modérés du rachis représentaient les diagnostics ayant un effet sur la capacité de travail de la recourante mais que tel n’était pas le cas pour le status après accident de la circulation du 17 septembre 1994 avec traumatisme crânio-cérébral et polytraumatisme. Compte tenu des atteintes ostéoarticulaires, il se justifiait de retenir une baisse de rendement de 10 % dans l’activité habituelle de secrétaire et dans toute activité adaptée (activité légère, principalement sédentaire, ne nécessitant pas le port de charges de plus de 10 kg ni de mouvement répétitifs impliquant la nuque et permettant l’alternance des positions assises et debout), ces activités étant exigibles à plein temps dès octobre 2008 « au moins », soit à 90 % en y incluant la diminution de rendement de 10 %. b. Suite à la nouvelle demande de prestations formée le 7 septembre 2012, l’intimé a retenu, à l’appui de sa décision du 7 novembre 2017, fondée sur l’avis du 26 octobre 2016 du SMR, lui-même basé sur les conclusions du rapport du 10 octobre 2016 du Dr J______ et les éléments du stage aux EPI de 2016, que la capacité de travail de la recourante était toujours de 50 % (en raison de son orbitopathie oculaire) dans l’activité habituelle de secrétaire mais que dans une activité adaptée, cette capacité avait diminué à 50 % au vu du syndrome psycho- organique résiduel (lié au traumatisme crânio-cérébral de septembre 1994) objectivé par l’examen neuropsychologique du mois de septembre 2016. c. Sans contester sa capacité de travail de 50 % dans toute activité, la recourante dit ne pas comprendre pourquoi l’OAI, respectivement le SMR, n’ont pas reconnu une aggravation de son état de santé depuis 2012 mais seulement en septembre 2016, alors qu’il existerait une continuité d’un état de santé fragilisé depuis l’accident de 1994 qui se serait aggravé par la maladie de Basedow en 2012. Force est de rappeler en premier lieu que la décision du 29 octobre 2009, qui avait supprimé la demi-rente d’invalidité octroyée en juillet 2003, n’a pas été attaquée par la recourante et qu’en conséquence, cette dernière était réputée ne plus présenter de troubles neuropsychologiques incapacitants au plus tard au moment du début de sa formation juridique en octobre 2008 (cf. l’avis du 26 août 2009 du SMR). En second lieu, il ne ressort pas de la demande de prestations formée le 7 septembre 2012 que celle-ci ait été motivée par des troubles neuro- psychologiques. Au contraire, il y est fait état d’exophtalmie sur maladie Basedow</w:t>
      </w:r>
    </w:p>
    <w:p>
      <w:r>
        <w:t>A/4825/2017 - 22/24 - et les rapports versés au dossier jusqu’en 2013, parmi lesquels celui du 26 septembre 2012 du Dr F______, ont logiquement conduit le SMR à considérer le 10 septembre 2013 que l’atteinte à la santé au sens de l’AI consistait dans une orbitopathie oculaire sur hyperthyroïdie qui réduisait la capacité de travail à 50 % à un poste impliquant l’utilisation d’un ordinateur, ce qui était le cas pour l’activité habituelle. De fait, il faut attendre le rapport du 9 février 2015 du Dr M______ pour trouver des observations d’un médecin établissant un lien de causalité entre l’incapacité de travail et les suites de l’accident de septembre 1994. Cependant, étant donné que ce médecin rapportait des diagnostics somatiques déjà connus et que le Dr D______ ne faisait pas état de troubles psychiques représentant une atteinte durable, on ne saurait faire grief au SMR d’avoir considéré, le 10 août 2015, qu’en l’absence d’affections autres que les troubles ostéo-articulaires déjà examinés par l’expert rhumatologue C______ en juillet 2009 et les troubles oculaires apparus en 2012, il n’y avait pas de « pathologie surajoutée », si bien qu’il existait une capacité de travail de 90 % (diminution de rendement incluse) dans toute activité adaptée aux limitations fonctionnelles de la première atteinte (cf. rapport d’expertise du Dr C______) et de la deuxième atteinte (besoin de se lubrifier les yeux et pas de travail à l’écran d’ordinateur à plus de 50 %). En troisième lieu, ce n’est qu’avec le rapport du 10 octobre 2016 du Dr J______, corroboré par l’examen neuropsychologique des 19 et 23 septembre 2016 et les éléments du stage aux EPI, qu’il a été possible d’objectiver un lien de causalité entre les troubles de la concentration, la fatigabilité et les erreurs dans les tests informatisés d’une part, et le traumatisme crânio-cérébral sévère avec syndrome psycho-organique résiduel d’autre part. En conséquence, l’avis du 26 octobre 2016 du SMR, sur lequel se fonde la décision querellée, ne prête pas le flanc à la critique en tant qu’il retient une capacité de travail de 50 % dans une activité adaptée seulement à partir du mois de septembre 2016. Du reste, il ne ressort pas du rapport du 10 octobre 2016 du Dr J______ que ce médecin entendrait donner à ses observations et conclusions une portée qui serait antérieure à l’examen neuropsychologique mis en œuvre les 19 et 23 septembre 2016 par Mme K______. Il propose au contraire à l’intimé « de revoir ce dossier en envisageant chez [la recourante] le régime antérieur, soit une capacité de travail de 50 % ». Partant, la chambre de céans considérera qu’il est établi, au degré de la vraisemblance prépondérante, que l’état de santé de la recourante s’est détérioré en septembre 2016, réduisant ainsi sa capacité de travail à 50 % dans toute activité dès cette date. d. On relève enfin que la recourante n'a pas fait valoir, dans le cadre de sa seconde demande de prestations, que la décision du 29 octobre 2009 était manifestement erronée et partant sujette à reconsidération (art. 53 al. 2 LPGA). Or, en dehors de l'hypothèse, non réalisée en l'espèce, dans laquelle le juge confirme une décision de révision rendue à tort pour le motif substitué que la décision de rente initiale était sans nul doute erronée et que sa rectification revêt une importance notable (arrêt du Tribunal fédéral 9C_342/2008 du 20 novembre 2008 consid. 5, non publié in ATF 135 I 1; ATF 127 V 469 consid. 2c), la chambre de céans n'est pas autorisée à</w:t>
      </w:r>
    </w:p>
    <w:p>
      <w:r>
        <w:t>A/4825/2017 - 23/24 - reconsidérer la décision initiale, seul l'assureur ayant cette faculté (ATF 133 V 50 consid. 4.2.1). Par ailleurs, la recourante n'a pas fait valoir non plus que des faits nouveaux importants ou de nouveaux moyens de preuve avaient été découverts et justifiaient en conséquence, une révision de la décision du 29 octobre 2009 en application de l’art. 53 al. 1 LPGA. On rappellera à cet égard qu’il ne ressort pas du rapport du 10 octobre 2016 du Dr J______ que la capacité de travail de la recourante n’aurait jamais été supérieure à 50 % depuis l’octroi de la demi-rente en juillet 2003 et qu’elle se serait donc maintenue à 50 % d’octobre 2008 à septembre 2016. Quoi qu’il en soit, même si cette dernière éventualité était suffisamment étayée d’un point de vue médical, en particulier neurologique/neuropsychologique, cette problématique serait exorbitante du présent litige car il incomberait à la recourante de former tout d’abord (et en temps utile ; cf. ci-dessus : consid. 7a) une demande de révision (au sens de l’art. 53 al. 1 LPGA) de la décision du 29 octobre 2009 auprès de l’OAI (cf. Ueli KIESER, ATSG-Kommentar, 3ème éd. 2015, p. 707 n. 36).</w:t>
      </w:r>
    </w:p>
    <w:p>
      <w:r>
        <w:rPr>
          <w:b/>
        </w:rPr>
        <w:t>E. 12</w:t>
      </w:r>
    </w:p>
    <w:p>
      <w:r>
        <w:t>Dans la mesure où l’intéressée présente, depuis septembre 2016, une capacité résiduelle de travail de 50 % dans toute activité adaptée, y compris son activité habituelle de secrétaire, son degré d’invalidité se confond avec celui de l’incapacité de travail (cf. arrêts du Tribunal fédéral des assurances I 43/05 du 30 juin 2006 consid. 5.2 et I 1/03 du 15 avril 2003 consid. 5.2). Le degré d’invalidité de la recourante s’élève donc à 50 %, taux qui suffit pour ouvrir le droit à une demi-rente d’invalidité depuis la fin du délai d’attente en septembre 2017 (art. 28 al. 1 let. b et c LAI).</w:t>
      </w:r>
    </w:p>
    <w:p>
      <w:r>
        <w:rPr>
          <w:b/>
        </w:rPr>
        <w:t>E. 13</w:t>
      </w:r>
    </w:p>
    <w:p>
      <w:r>
        <w:t>Au vu de ce qui précède, le recours sera rejeté. Étant donné que depuis le 1er juillet 2006, la procédure n'est plus gratuite (art. 69 al. 1bis LAI), il y a lieu de condamner la recourante au paiement d'un émolument de CHF 200.-.</w:t>
      </w:r>
    </w:p>
    <w:p>
      <w:r>
        <w:t>*****</w:t>
      </w:r>
    </w:p>
    <w:p>
      <w:r>
        <w:t>PAR CES MOTIFS, LA CHAMBRE DES ASSURANCES SOCIALES :</w:t>
      </w:r>
    </w:p>
    <w:p>
      <w:r>
        <w:t>A/4825/2017 - 24/24 -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