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ATAS/105/2024 vom 15. Februar 2024</w:t>
      </w:r>
    </w:p>
    <w:p>
      <w:r>
        <w:t>GE Cour de justice, 2024-02-15, FR</w:t>
      </w:r>
    </w:p>
    <w:p>
      <w:r>
        <w:rPr>
          <w:b/>
        </w:rPr>
        <w:t xml:space="preserve">Quelle: </w:t>
      </w:r>
      <w:r>
        <w:t>https://mcp.opencaselaw.ch/entscheid/ge_gerichte_ATAS_105_2024</w:t>
      </w:r>
    </w:p>
    <w:p>
      <w:r>
        <w:t>FR: GE_GERICHTE ATAS/105/2024 du 15 février 2024</w:t>
      </w:r>
    </w:p>
    <w:p>
      <w:r>
        <w:t>IT: GE_GERICHTE ATAS/105/2024 del 15 febbraio 2024</w:t>
      </w:r>
    </w:p>
    <w:p>
      <w:pPr>
        <w:pStyle w:val="Heading2"/>
      </w:pPr>
      <w:r>
        <w:t>Erwägungen</w:t>
      </w:r>
    </w:p>
    <w:p>
      <w:r>
        <w:rPr>
          <w:b/>
        </w:rPr>
        <w:t>E. 19</w:t>
      </w:r>
    </w:p>
    <w:p>
      <w:r>
        <w:t>mai 2023, sans qu’aucun élément médical objectif nouveau ne rende plausible une modification de l’état de santé de l’assurée. Partant, l’OAI concluait au rejet du recours.</w:t>
      </w:r>
    </w:p>
    <w:p>
      <w:r>
        <w:t>e. Par réplique de sa mandataire, datée du 8 décembre 2023, la recourante a considéré que le recouvrement de sa pleine capacité de travail, dans tous types d’activité depuis le mois d’avril 2022, était établi avec certitude, raison pour laquelle le recours devait être admis et la rente d’invalidité annulée à compter du mois d’avril 2022. f. Sur ce, la chambre de céans a informé les parties que la cause était gardée à juger. g. Les autres faits seront mentionnés, en tant que de besoin, dans la partie « en droit » du présent arrêt.</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Dans la mesure où le recours a été interjeté postérieurement au 1er janvier 2021, il est soumis au nouveau droit (cf. art. 82a LPGA a contrario). 4. Le 1er janvier 2022, sont entrées en vigueur les modifications de la LAI du 19 juin 2020 (développement continu de l’AI ; RO 2021 705), ainsi que celles</w:t>
      </w:r>
    </w:p>
    <w:p>
      <w:r>
        <w:t>A/3344/2023 - 8/17 - du 3 novembre 2021 du règlement sur l’assurance-invalidité du 17 janvier 1961 (RAI – RS 831.201 ; RO 2021 706).</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En l’occurrence, la décision querellée concerne une assurée âgée de plus de 55 ans au 1er janvier 2022, mais porte sur l’éventuelle suppression d’une rente dont le droit est né le 1er avril 2022, soit postérieurement au 31 décembre 2021, de sorte que les dispositions légales applicables seront citées dans leur nouvelle teneur. 5. Le délai de recours est de 30 jours (art. 56 LPGA ; art. 62 al. 1 de la loi sur la procédure administrative du 12 septembre 1985 [LPA - E 5 10]). Interjeté dans la forme et le délai prévus par la loi, le recours est recevable. 6.</w:t>
      </w:r>
    </w:p>
    <w:p>
      <w:r>
        <w:t>6.1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6.2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 7. En l’état, la recourante conclut, notamment, à l’annulation de la décision d’octroi de la rente d’invalidité du « 13 juillet 2022 » (recte : 3 juin 2022), ce qui va au- delà de l’objet de la contestation, comme cela vient d’être exposé supra, soit la décision de l’OAI de non-entrée en matière du 12 septembre 2023. En raison du</w:t>
      </w:r>
    </w:p>
    <w:p>
      <w:r>
        <w:t>A/3344/2023 - 9/17 - fait que la précédente décision du 3 juin 2022 est entrée en force, il n’est pas possible d’élargir le procès au-delà de l’objet de la contestation, ce d’autant moins que, dans le cadre d’une procédure d’entrée en matière, il ne s’agit pas de procéder à l’annulation d’une décision préalable, mais de s’assurer que les allégations de la recourante, selon lesquelles la situation de fait a changé suffisamment, depuis que la dernière décision a été rendue, sont suffisamment plausibles pour qu’une nouvelle instruction soit diligentée. Par conséquent, la chambre de céans ne peut se prononcer que sur la plausibilité des allégations de la recourante au regard des conditions d’entrée en matière sur la demande de révision, qui constituent l’objet de la décision querellée. 8. Le litige porte sur la décision de refus d’entrée en matière de l’OAI du 12 septembre 2023 sur la demande de révision du 26 juin 2023 déposée par l’assurée. 9.</w:t>
      </w:r>
    </w:p>
    <w:p>
      <w:r>
        <w:t>9.1 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arrêts du Tribunal fédéral 9C_748/2013 du 10 février 2014 consid. 4.3 et I 716/2003 du 9 août 2004 consid. 4.1). Les conditions d'entrée en matière prévues par l'art. 87 al. 2 et 3 RAI ont pour but de restreindre la possibilité de présenter de manière répétée des demandes de rente identiques (ATF 133 V 108 consid. 5.3.1). 9.2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w:t>
      </w:r>
    </w:p>
    <w:p>
      <w:r>
        <w:t>A/3344/2023 - 10/17 -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9.3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 ATF 130 V 71 consid. 3.2 ; arrêt du Tribunal fédéral 9C_754/2013 du 16 avril 2014 consid. 2.1). Dans le domaine de l’AI, une modification peu importante de l'état de fait déterminant, en particulier du degré d’invalidité, peut donner lieu à une révision de la rente, dans la mesure où elle justifie le passage à un échelon de rente différent (ATF 133 V 545 consid. 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Lorsque les faits déterminants pour le droit à la rente se sont modifiés au point de faire apparaître un changement important de l'état de santé motivant une révision, le degré d'invalidité doit être fixé à nouveau sur la base d'un état de fait établi de</w:t>
      </w:r>
    </w:p>
    <w:p>
      <w:r>
        <w:t>A/3344/2023 - 11/17 - manière correcte et complète, sans référence à des évaluations antérieures de l'invalidité (ATF 141 V 9 ; 117 V 198 consid. 4b). Une appréciation différente d'une situation demeurée inchangée pour l'essentiel ne constitue pas un motif de révision (arrêts du Tribunal fédéral 9C_717/2012 du 18 mars 2013 consid. 3.3 et I 491/2003 du 20 novembre 2003 consid. 2.2 in fine et les références). 10.</w:t>
      </w:r>
    </w:p>
    <w:p>
      <w:r>
        <w:t>10.1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Seules les conséquences de l'atteinte à la santé sont prises en compte pour juger de la présence d'une incapacité de gain. De plus, il n'y a incapacité de gain que si celle- 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10.2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10.3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L'al. 1bis dudit art. 28 LAI – en vigueur depuis le 1er janvier 2022 –</w:t>
      </w:r>
    </w:p>
    <w:p>
      <w:r>
        <w:t>A/3344/2023 - 12/17 - dispose qu'une rente au sens de l’al. 1 n’est pas octroyée tant que toutes les possibilités de réadaptation au sens de l’art. 8 al. 1bis et 1ter LAI n’ont pas été épuisées. Selon l'art. 28b LAI - entré en vigueur le 1er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tableau, avec un taux d'invalidité d'au minimum 40% donnant droit à une rente - la plus basse - de 25%, jusqu'à un taux d'invalidité de 49% donnant droit à une rente de 47,5% (al. 4). 11.</w:t>
      </w:r>
    </w:p>
    <w:p>
      <w:r>
        <w:t>11.1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ATF 125 V 256 consid. 4 et les références). En outre, les données médicales constituent un élément utile pour déterminer quels travaux on peut encore, raisonnablement, exiger de l'assuré (ATF 125 V 256 consid. 4 et les références). 11.2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t>A/3344/2023 - 13/17 - 11.3 Un rapport du service médical régional (ci-après : le SMR) de l'OAI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11.4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12.</w:t>
      </w:r>
    </w:p>
    <w:p>
      <w:r>
        <w:t>12.1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12.2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w:t>
      </w:r>
    </w:p>
    <w:p>
      <w:r>
        <w:t>A/3344/2023 - 14/17 -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13.</w:t>
      </w:r>
    </w:p>
    <w:p>
      <w:r>
        <w:t>En l’espèce, selon la motivation figurant dans la décision querellée, l’OAI considère que l’assurée n’a pas rendu plausible, par des documents adéquats, que sa situation s’est notablement modifiée. Il se réfère à l’arrêt de la chambre de céans du 19 mai 2023 et affirme « que les éléments avancés ont été pris en compte par celle-ci et qu’en l’absence d’élément nouveau, nous n’entrons pas en matière sur la nouvelle demande ». 13.1 Dans sa réponse au recours du 14 novembre 2023, l’OAI précise que les pièces médicales transmises dans le cadre de la demande actuelle font état d’éléments qui ont déjà été pris en compte dans sa précédente décision et par l’arrêt de la chambre de céans du 19 mai 2023. L’OAI en conclut qu’aucun élément médical objectif nouveau ne rend plausible une modification de l’état de santé de la recourante. S’il est vrai que la chambre de céans avait déjà pris en compte le certificat médical produit par le Dr E______, médecin traitant de l’assurée, daté du 14 mars 2022, elle n’en avait pas tenu compte en considérant que ladite pièce « n’était pas suffisante pour admettre au degré de la vraisemblance prépondérante » que l’assurée était apte à travailler dans toute activité et bénéficiait, réellement, d’une capacité de travail de 100%. Cette conclusion était due au fait que le certificat médical en question était très lapidaire et que le médecin traitant s’était contenté d’ajouter à la main, de manière succincte, que la recourante disposait d’une capacité de travail de 100% dans toute activité dès le 1er avril 2022, sans fournir d’argument solide ou de motivation convaincante permettant de considérer cette appréciation comme présentant un degré de vraisemblance prépondérante. C’est une des raisons pour lesquelles la chambre de céans avait jugé utile de rappeler dans ses considérants que l’assurée conservait la possibilité de présenter une nouvelle demande de révision à l’OAI, « fondée sur des pièces médicales idoines », afin de démontrer un éventuel changement important de circonstances propres à influencer le degré d’invalidité. Or, dans le cadre de sa demande de révision, l’assurée ne s’est pas contentée de représenter le même certificat médical mais a, cette fois-ci, présenté deux rapports médicaux beaucoup plus complets, rédigés par le Dr E______, respectivement en date du 21 juin, puis du 10 octobre 2023. 13.2 Dans son nouveau formulaire médical OAI daté du 21 juin 2023, le médecin traitant a précisé que la capacité de travail s’était améliorée en 2021 et qu’à partir</w:t>
      </w:r>
    </w:p>
    <w:p>
      <w:r>
        <w:t>A/3344/2023 - 15/17 - du 1er décembre 2021, l’assurée avait travaillé à 100% au F______, capacité qu’il avait confirmée par le précédent certificat du 14 mars 2022 pour le 1er avril 2022 (ch. 1.3). Il a ajouté que depuis l’octroi de la rente, l’état de santé de l’assurée était stable avec une pleine capacité de travail (ch. 1.4) et qu’il n’existait aucun symptôme en relation avec l’incapacité précédente (ch. 1.5). Il n’existait aucun diagnostic avec un effet sur la capacité de travail (ch. 1.6) et aucun traitement n’était suivi par l’assurée (1.7). Le pronostic était « excellent vu la parfaite récupération » (ch. 1.8). Il précisait encore, s’agissant de l’activité habituelle ou d’une activité adaptée, que son certificat du 14 mars 2022, qui certifiait la capacité de travail à 100%, avait été établi, non pas pour l’OAI mais pour l’OCE, qui avait repris le suivi à la fin des mesures (de l’OAI). Dans son rapport médical du 10 octobre 2023, le Dr E______ a repris la chronologie et rappelé que dans son expertise du 2 décembre 2021, le Prof. D______ avait déjà constaté que l’assurée était prête à une réadaptation progressive, dans un milieu proche du suivi de référence, pour commencer à un taux d’activité de 30%, avec augmentation jusqu’à 100%. Le SMR était arrivé au même constat, dans son rapport médical du 7 janvier 2021, estimant que la capacité de travail de l’assurée était alors de 30% dans une activité adaptée à ses limitations fonctionnelles, mais susceptible d’augmenter vers un 100% dans les 12 mois. Le médecin traitant constatait que les pronostics de ses confrères étaient avérés, dès lors que l’assurée avait pu travailler à 100% au F______, dès le 1er décembre 2021, sans aucune mesure d’aide, ni d’accompagnement. Il constatait également la progression de la récupération complète par l’assurée de sa capacité de travail dans toute activité, attestant que depuis au moins le 1er avril 2022, toutes les limitations fonctionnelles évoquées dans les rapports précédents avaient disparu et qu’il n’avait plus constaté de trait lié à une personnalité supposée (selon le Prof. D______) anankastique. L’épisode dépressif traversé suite au licenciement de l’assurée en 2017, ainsi que le traitement médicamenteux lié, avaient pris fin depuis lors et l’assurée était donc prête pour un nouveau poste de travail, quelle que soit l’activité. Cette conclusion était, par ailleurs, renforcée par le fait qu’il n’y avait eu aucune rechute, ni aucun symptôme résiduel de son état dépressif, depuis de nombreux mois, et que son expérience de travail au F______ confortait ce diagnostic. 13.3 Il résulte de ce qui précède que, contrairement au contenu de son premier certificat du 14 mars 2022 lacunaire, notamment en raison du fait qu’il était destiné à l’OCE, ce qui explique probablement la raison pour laquelle il n’était pas suffisamment détaillé, le médecin traitant de l’assurée a, cette fois-ci, rédigé des pièces médicales suffisamment motivées et convaincantes pour rendre plausibles les raisons de la demande de révision présentée par l’assurée. 13.4 S’il est vrai que l’autorité jouit d’un certain pouvoir pour apprécier le caractère plausible des allégations de l’assurée, surtout lorsqu’il s’est écoulé peu de temps depuis la décision antérieure, comme c’est le cas en l’occurrence, on ne</w:t>
      </w:r>
    </w:p>
    <w:p>
      <w:r>
        <w:t>A/3344/2023 - 16/17 - peut que constater que c’est en raison du manque de précision et de motivation de la pièce médicale produite par l’assurée, dans le cadre de la procédure antérieure, que cette dernière a échoué à démontrer qu’elle avait recouvré une pleine capacité de travail. Comme cela avait été mentionné par la chambre de céans, elle conservait la possibilité de présenter les pièces médicales idoines, susceptibles de modifier l’appréciation de l’OAI, dans le cadre d’une demande de révision. Dans la présente espèce, il est indéniable que les nouvelles pièces médicales rédigées par le médecin traitant sont beaucoup plus convaincantes que le précédent certificat médical daté du 14 mars 2022. L’OAI a fait un mauvais usage de son pouvoir d’appréciation en considérant qu’il ne pouvait pas entrer en matière sur de nouvelles pièces médicales en raison de l’arrêt précédemment rendu par la chambre de céans, alors même que cette dernière avait expressément réservé la possibilité pour l’assurée de déposer une demande de révision fondée sur des pièces médicales idoines (ATAS/347/2023, consid. 14.4). 13.5 Au vu des rapports médicaux du 21 juin et du 10 octobre 2023, il parait très plausible qu’il y a eu une modification importante des circonstances et que la recourante a récupéré une capacité de travail de 100% dans toute activité, depuis au moins le 1er avril 2022. Ce d’autant plus qu’aussi bien l’expert D______ que le SMR semblaient également convaincus que l’assurée pouvait retrouver une capacité de travail de 100% dans un laps de temps proche du début de l’année 2022. Dans ces circonstances, le dossier apparaît insuffisamment instruit. Il convient dès lors d’admettre partiellement le recours, d’annuler la décision querellée et de renvoyer la cause à l’OAI, afin qu’il entre en matière sur la demande de révision et procède à une instruction complémentaire, puis rende une nouvelle décision. 14. La recourante, assistée par une mandataire professionnellement qualifiée et obtenant partiellement gain de cause, a ainsi droit à une indemnité à titre de participation à ses frais et dépens, que la chambre de céans fixera à CHF 1'500.- (art. 61 let. g LPGA ; art. 89H LPA ; art. 6 du règlement sur les frais, émoluments et indemnités en procédure administrative du 30 juillet 1986 [RFPA - E 5 10.03]). 15. La procédure n'étant pas gratuite (art. 69 al. 1bis LAI), au vu du sort du recours, il y a lieu de condamner l'intimé au paiement d'un émolument de CHF 200.-.</w:t>
      </w:r>
    </w:p>
    <w:p>
      <w:r>
        <w:t>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