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ATAS/1059/2016 vom 8. Dezember 2016</w:t>
      </w:r>
    </w:p>
    <w:p>
      <w:r>
        <w:t>GE Cour de justice, 2016-12-08, FR</w:t>
      </w:r>
    </w:p>
    <w:p>
      <w:r>
        <w:rPr>
          <w:b/>
        </w:rPr>
        <w:t xml:space="preserve">Quelle: </w:t>
      </w:r>
      <w:r>
        <w:t>https://mcp.opencaselaw.ch/entscheid/ge_gerichte_ATAS_1059_2016</w:t>
      </w:r>
    </w:p>
    <w:p>
      <w:r>
        <w:t>FR: GE_GERICHTE ATAS/1059/2016 du 8 décembre 2016</w:t>
      </w:r>
    </w:p>
    <w:p>
      <w:r>
        <w:t>IT: GE_GERICHTE ATAS/1059/2016 del 8 dicembre 2016</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aux prestations de l’assurance-accidents, plus particulièrement sur la question de savoir si son état est stabilisé, sur le droit éventuel à une rente et sur la quotité de l’IPAI.</w:t>
      </w:r>
    </w:p>
    <w:p>
      <w:r>
        <w:t>A/3254/2015 - 9/18 -</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S’agissant de l’aggravation d’un état antérieur dégénératif au niveau de la colonne vertébrale, le statu quo sine est dans la règle atteint après six ou neuf mois, mais au plus tard après un an (arrêt du Tribunal fédéral 8C_508/2008 du 22 octobre 2008 consid.4.2).</w:t>
      </w:r>
    </w:p>
    <w:p>
      <w:r>
        <w:rPr>
          <w:b/>
        </w:rPr>
        <w:t>E. 7</w:t>
      </w:r>
    </w:p>
    <w:p>
      <w:r>
        <w:t>La plupart des éventualités assurées (par exemple la maladie, l'accident, l'incapacité de travail, l'invalidité, l'atteinte à l'intégrité physique ou mentale) supposent</w:t>
      </w:r>
    </w:p>
    <w:p>
      <w:r>
        <w:t>A/3254/2015 - 10/18 -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A/3254/2015 - 11/18 -</w:t>
      </w:r>
    </w:p>
    <w:p>
      <w:r>
        <w:rPr>
          <w:b/>
        </w:rPr>
        <w:t>E. 10</w:t>
      </w:r>
    </w:p>
    <w:p>
      <w:r>
        <w:t>En l’espèce, il convient en premier lieu d’examiner l’existence d’un lien de causalité naturelle entre l’évènement survenu le 14 février 2011 et les atteintes dont se plaint encore la recourante. a. La recourante allègue en premier lieu souffrir d’une instabilité du genou gauche dont elle soutient qu’elle serait en lien avec l’accident. Elle en veut pour démonstration le fait qu’elle n’ait jamais subi de traumatisme ni souffert à ce niveau auparavant et relève que, dans le résumé de séjour du 14 février 2011 des HUG, une dermabrasion des genoux est mentionnée. Force est cependant de constater que ce n’est que dans le rapport établi le 14 juin 2013 - soit plus de deux ans après l’accident - par le Dr H______ qu’une entorse du genou gauche est mentionnée pour la première fois, sans autre précision. Le rapport de police relatif à l’accident ne fait état, à titre de blessure, que d’une plaie au visage. Par ailleurs, si le résumé de séjour du 14 février 2011 des HUG fait certes mention des genoux, ce n’est que pour des dermabrasions, l’hématome, lui, concerne le tiers supérieur de la jambe droite et non le genou gauche, lequel n’a fait l’objet d’aucune investigation durant l’hospitalisation de l’assurée en 2011. Au contraire, dans le même document, les HUG mentionne que la mobilité des genoux est bonne. Dans ces conditions, il est clair que le lien de causalité naturelle entre l’atteinte invoquée par la recourante au niveau de son genou gauche et l’accident doit être nié, sans qu’il soit besoin de mettre en œuvre des mesures d’instruction supplémentaires. b. La recourante invoque ensuite des problèmes cervicaux qui, selon elle, ne sauraient s’expliquer autrement que par le traumatisme dont elle relève que le Dr I______ l’a attribué à une probable contusion cervicale. On rappellera en premier lieu que le Dr I______ est spécialiste en chirurgie plastique et reconstructive, et qu’il était appelé à se déterminer en cette seule qualité, sur les problèmes rencontrés par la recourante au niveau facial. A la lecture du dossier, on constate que l’IRM pratiquée suite à l’accident, le</w:t>
      </w:r>
    </w:p>
    <w:p>
      <w:r>
        <w:rPr>
          <w:b/>
        </w:rPr>
        <w:t>E. 15</w:t>
      </w:r>
    </w:p>
    <w:p>
      <w:r>
        <w:t>mars 2011 n’a montré aucun signe traumatique, mais seulement des atteintes dégénératives à ce niveau. Il en allait de même fin 2014, lorsque le Dr C______, spécialisé en la matière, a réexaminé la situation. Ce médecin a souligné que l’examen neurologique était normal, que toute atteinte tronculaire devait être écartée et a clairement énoncé à deux reprises qu’au vu de la chronologie et du résultat des examens, il était vraisemblable que l’origine des paresthésies soit cervicale. On ajoutera que, même si l’on admettait l’aggravation d’un état antérieur dégénératif au niveau de la colonne cervicale, selon la jurisprudence rappelée supra, il faudrait considérer le statu quo sine atteint après six ou neuf mois, ce qu’a confirmé le médecin traitant puisque le Dr D______ annonçait, en septembre 2011, une guérison des douleurs cervicales.</w:t>
      </w:r>
    </w:p>
    <w:p>
      <w:r>
        <w:t>A/3254/2015 - 12/18 - Là encore, il est manifeste que le lien de causalité naturelle entre l’atteinte invoquée par la recourante au niveau des cervicales et l’accident doit être nié, à tout le moins après septembre 2011. c. Restent donc l’atteinte au menton et la cicatrice à ce niveau, dont le lien de causalité avec l’accident n’est ni contestable ni contesté, pas plus que le lien de causalité adéquate, d’ailleurs. 11. Dans la décision litigieuse, l’intimée a mis fin à sa prise en charge avec effet au 31 décembre 2014, date à compter de laquelle elle a considéré que l’état de santé de l’assurée était stabilisé, ce que l’intéressée conteste. a.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Il faut en principe que l'état de l'assuré puisse être considéré comme stable d'un point de vue médical (arrêt du Tribunal fédéral 8C_1023/2008 du 1er décembre 2009 consid. 5.1).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ATF 133 V 57 consid. 6.6.2). En cas de rechute ou de séquelle tardive, l'assuré peut à nouveau prétendre la prise en charge du traitement médical et, en cas d'incapacité de travail, le paiement d'indemnités journalières (art. 11 de l’ordonnance sur l'assurance-accidents, du</w:t>
      </w:r>
    </w:p>
    <w:p>
      <w:r>
        <w:rPr>
          <w:b/>
        </w:rPr>
        <w:t>E. 20</w:t>
      </w:r>
    </w:p>
    <w:p>
      <w:r>
        <w:t>décembre 1982 - OLAA; RS 832.202; pour les titulaires d'une rente de l'assurance-accidents : art. 21 LAA).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w:t>
      </w:r>
    </w:p>
    <w:p>
      <w:r>
        <w:t>A/3254/2015 - 13/18 - conduisent souvent à un état pathologique différent (ATF 123 V 137 consid. 3a, ATF 118 V 293 consid. 2c et les références). Selon l’art. 21 LAA, lorsque la rente a été fixée, les prestations pour soins et remboursement de frais (art. 10 à 13 LAA) sont accordées à son bénéficiaire dans les cas énumérés par l’alinéa 1, à savoir : lorsqu'il souffre d'une maladie professionnelle (let. a); lorsqu'il souffre d'une rechute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 Ainsi,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1d). b. En l’occurrence, la décision litigieuse confirme celle du 13 mai 2015 au terme de laquelle l’intimée a considéré : « 1. Le traitement médical à la charge de l’assurance-accidents a pris fin au 31.12.2014, en raison de la stabilisation de l’état de santé et faute de droit à une rente d’invalidité (…). 3. Il persiste actuellement une cicatrice qui pourrait être améliorée par une nouvelle chirurgie correctrice. Si une intervention devait être programmée, une nouvelle déclaration devra être éditée sous l’angle de l’article 21 al. 3 LAA pour rechute et séquelles tardives ». Le lien de causalité n’ayant été reconnu que pour les atteintes faciales, la question se limite à savoir si celles-ci ont des répercussions sur la capacité de travail de la recourante au point de lui ouvrir droit à une rente. Tel n’est manifestement pas le cas puisqu’aucun médecin n’a conclu en ce sens. Le droit à une rente n’est donc pas ouvert, d’autant qu’il n’est pas contesté que la recourante a retrouvé une pleine capacité de travail à compter du 1er juillet 2011, l’incapacité de 50% persistant</w:t>
      </w:r>
    </w:p>
    <w:p>
      <w:r>
        <w:t>A/3254/2015 - 14/18 - depuis lors devant être attribuée à des causes maladives (pces 5, 7, 12, 27, 33, 34, 40, 48 et 49 intimée). Dès lors, la question de la continuation de la prise en charge du traitement en lien avec les atteintes faciales se pose sous l’angle de savoir s’il serait propre à entraîner une amélioration de l'état de santé ou à éviter une péjoration de cet état, sans qu’il soit nécessaire qu’il permette de rétablir ou augmenter la capacité de gain. Cependant, en l’occurrence, l’expert I______ a indiqué qu’il n’y avait pas lieu d’attendre d’amélioration s’agissant des troubles sensitifs persistant dans la zone mentonnière. C’est dès lors à juste titre que l’intimée a considéré que, sur ce plan, l’état de santé était stabilisé. En revanche, s’agissant de la cicatrice qui demeure, l’expert I______ a préconisé une nouvelle correction, dont il a estimé qu’elle pourrait conduire à une nette amélioration, ce que reconnaît le Dr E______. Ce dernier a suggéré de réserver la possibilité d’une reprise de la cicatrice sous l’angle d’une séquelle tardive ou d’une rechute et l’intimée l’a suivi sur ce point (cf. point 3 du dispositif de la décision confirmée sur opposition). La Cour de céans est d’avis qu’envisager la situation sous cet angle est erroné dans la mesure où la cicatrice n’est pas « guérie ». On ne saurait dès lors parler d’atteinte qui se « manifesterait à nouveau » ou d’état pathologique différent. On retiendra en revanche que l’état de la cicatrice n’est sans doute pas définitif et on prendra acte de l’engagement de l’intimée à prendre en charge une nouvelle reprise si la recourante s’y résout plus tard. En dehors de cela, l’état de santé doit être considéré comme stabilisé, ainsi qu’en ont attesté tous les médecins. 12. Reste la question litigieuse de la quotité de l’IPAI, fixée par l’intimée à 5% sur la base de l’avis de son médecin-conseil, la recourante concluant quant à elle à un taux de 20%. Elle reproche notamment à l’intimée de n’avoir pas pris en compte le préjudice esthétique causé par ses cicatrices faciales.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 une forme de réparation morale pour le préjudice immatériel (douleurs, souffrances, diminution de la joie de vivre,</w:t>
      </w:r>
    </w:p>
    <w:p>
      <w:r>
        <w:t>A/3254/2015 - 15/18 -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w:t>
      </w:r>
    </w:p>
    <w:p>
      <w:r>
        <w:t>A/3254/2015 - 16/18 - Le taux d'une atteinte à l'intégrité doit être évalué exclusivement sur la base de constatations médicales (ATF 115 V 147 consid. 1; ATF 113 V 218 consid. 4b; RAMA 2004 p. 415; arrêt du Tribunal fédéral des assurances U 134/03 du 12 janvier 2004 consid. 5.2). c. L’annexe 3 à l'OLAA comporte un barème - reconnu conforme à la loi et non exhaustif (ATF 113 V 218 consid. 2a; RAMA 1988 p. 236) - des lésions fréquentes et caractéristiques, évaluées en pourcent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d.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 Une révision de l'indemnité n’est possible qu’en cas exceptionnel, si l’aggravation est importante et n’était pas prévisible (art. 36 al. 4 2ème phrase OLAA; cf. arrêt du Tribunal fédéral 8C_459/2008 du 4 février 2009 consid. 2.1.3; arrêt du Tribunal fédéral des assurances U 124/01 du 22 novembre 2001 consid. 1b). Elle doit être d'au moins 5 % de plus que ce qui était pronostiqué (RAMA 1991 p. 306). En cas de concours de plusieurs atteintes à l’intégrité physique, mentale ou psychique, dues à un ou plusieurs accidents, l’indemnité pour atteinte à l’intégrité</w:t>
      </w:r>
    </w:p>
    <w:p>
      <w:r>
        <w:t>A/3254/2015 - 17/18 - est fixée d’après l’ensemble du dommage. L’indemnité totale ne peut dépasser le montant maximum du gain annuel assuré. Il est tenu compte, dans le taux d’indemnisation, des indemnités déjà reçues en vertu de la loi (art. 36 al. 3 OLAA). e. En l’espèce, ainsi que cela a été relevé plus haut, seules perdurent, en lien de causalité avec l’accident, une cicatrice - qui pourrait être améliorée par une nouvelle chirurgie correctrice - et une neuropathie du nerf mentonnier gauche. C’est la table 17 de la SUVA qui s’applique en cas de déficits et de troubles fonctionnels des nerfs crâniens. Or, cette table prévoit effectivement, en cas d’atteinte du nerf mentonnier d’un seul côté, un taux d’indemnisation de 5% ; ce n’est qu’en cas d’atteinte au nerf mentonnier bilatéral qu’une indemnité de 7,5% est prévue (chapitre I). C’est ainsi à juste titre que l’intimée s’est écartée, sur ce point, de l’évaluation du Dr I______, celle-ci étant manifestement erronée, et n’a octroyé qu’une IPAI de 5% à la recourante. Quant à la cicatrice para-mentonnière droite, c’est la table 18 de la SUVA, relative aux atteintes à l’intégrité en cas de lésions de la peau qui pourrait trouver application. Cependant, cette table précise que, pour être indemnisée, il faut encore que l’atteinte cutanée persiste vraisemblablement dans la même mesure toute la vie. Or, en l’espèce, tant le Dr I______ que le Dr E______ ont jugé que la cicatrice de la recourante pourrait encore être considérablement amoindrie et « nettement » améliorée par une nouvelle reprise chirurgicale, raison pour laquelle, précisément, l’intimée a accepté d’entrer en matière sur la prise en charge d’une telle intervention dans le futur. Là encore, à ce stade, on ne saurait donc suivre la recourante lorsqu’elle conclut à l’octroi d’une IPAI pour atteinte esthétique. 13. Eu égard aux considérations qui précèdent, le recours est rejeté, avec la précision qu’il est pris acte de l’engagement de l’intimée de prendre en charge une éventuelle nouvelle reprise chirurgicale de la cicatrice, à l’issue de laquelle il faudra, cas échéant, se prononcer sur un éventuelle IPAI en relation avec les séquelles esthétiques.</w:t>
      </w:r>
    </w:p>
    <w:p>
      <w:r>
        <w:t>A/3254/2015 - 18/18 -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