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ATAS/1058/2024 vom 23. Dezember 2024</w:t>
      </w:r>
    </w:p>
    <w:p>
      <w:r>
        <w:t>GE Cour de justice, 2024-12-23, FR</w:t>
      </w:r>
    </w:p>
    <w:p>
      <w:r>
        <w:rPr>
          <w:b/>
        </w:rPr>
        <w:t xml:space="preserve">Quelle: </w:t>
      </w:r>
      <w:r>
        <w:t>https://mcp.opencaselaw.ch/entscheid/ge_gerichte_ATAS_1058_2024</w:t>
      </w:r>
    </w:p>
    <w:p>
      <w:r>
        <w:t>FR: GE_GERICHTE ATAS/1058/2024 du 23 décembre 2024</w:t>
      </w:r>
    </w:p>
    <w:p>
      <w:r>
        <w:t>IT: GE_GERICHTE ATAS/1058/2024 del 23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refus de prestations invalidité de l’OAI, au-delà du 31 janvier 2021.</w:t>
      </w:r>
    </w:p>
    <w:p>
      <w:r>
        <w:rPr>
          <w:b/>
        </w:rPr>
        <w:t>E. 3.1</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w:t>
      </w:r>
    </w:p>
    <w:p>
      <w:r>
        <w:rPr>
          <w:b/>
        </w:rPr>
        <w:t>E. 3.2</w:t>
      </w:r>
    </w:p>
    <w:p>
      <w:r>
        <w:t>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cinq points de pourcentage (FF 2017 2504). On rappellera ici que l’art. 17 LPGA régissant la révision du droit à la rente en cas de modification du taux d’invalidité</w:t>
      </w:r>
    </w:p>
    <w:p>
      <w:r>
        <w:t>A/2092/2024 - 13/26 - s’applique également à la décision par laquelle une rente échelonnée dans le temps est accordée avec effet rétroactif (arrêt du Tribunal fédéral 9C_244/2020 du 5 janvier 2021 consid. 4.3.1).</w:t>
      </w:r>
    </w:p>
    <w:p>
      <w:r>
        <w:rPr>
          <w:b/>
        </w:rPr>
        <w:t>E. 3.3</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3.4</w:t>
      </w:r>
    </w:p>
    <w:p>
      <w:r>
        <w:t>En l’occurence, le droit à la rente est né en août 2020 selon la décision de l’intimé, de sorte que l’ancien droit reste applicable, sous réserve d’une modification du degré d’invalidité de cinq points de pourcentage au moins après le 1er janvier 2022 (cf. arrêt du Tribunal fédéral 8C_55/2023 du 11 juillet 2023 consid. 2.2), dont la chambre de céans examinera, ci-après, si elle est survenue.</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selon toute vraisemblance vouées à l'échec</w:t>
      </w:r>
    </w:p>
    <w:p>
      <w:r>
        <w:t>A/2092/2024 - 14/26 -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124 V 108 consid. 3a).</w:t>
      </w:r>
    </w:p>
    <w:p>
      <w:r>
        <w:rPr>
          <w:b/>
        </w:rPr>
        <w:t>E. 5</w:t>
      </w:r>
    </w:p>
    <w:p>
      <w:r>
        <w:t>Il convient en préambule de rappeler ce qui suit au sujet du droit à la rente. 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Conformément au principe selon lequel la réadaptation prime la rente, ancré à l’art. 28 al. 1 let. a LAI, le droit à la rente ne peut en principe naître que lorsque toutes les possibilités de réadaptation, dont les mesures de réinsertion, ont été épuisées. Le fait que les mesures de réadaptation n’aient été que partiellement, voire pas du tout efficaces, est sans incidence sur cet état de fait. Néanmoins, avant ce moment, un droit (temporaire) à la rente peut exceptionnellement naître si l’assuré n’était pas ou pas encore apte à la réadaptation (ATF 148 V 397 consid. 6.2.4 ; arrêt du Tribunal fédéral 9C_380/2021 du 31 janvier 2022 consid. 5.1).</w:t>
      </w:r>
    </w:p>
    <w:p>
      <w:r>
        <w:rPr>
          <w:b/>
        </w:rPr>
        <w:t>E. 6</w:t>
      </w:r>
    </w:p>
    <w:p>
      <w:r>
        <w:t>La loi prévoit différentes méthodes pour évaluer l'invalidité d'un assuré en fonction du statut de ce dernier.</w:t>
      </w:r>
    </w:p>
    <w:p>
      <w:r>
        <w:rPr>
          <w:b/>
        </w:rPr>
        <w:t>E. 6.1</w:t>
      </w:r>
    </w:p>
    <w:p>
      <w:r>
        <w:t>Chez les assurés qui exerçaient une activité lucrative à plein temps avant d'être atteints dans leur santé physique, mentale ou psychique, il s’agit d’appliquer la méthode générale de comparaison des revenus (art. 28a al. 1 LAI en corrélation avec l'art. 16 LPGA) (ATF 137 V 334 consid. 3.1.1).</w:t>
      </w:r>
    </w:p>
    <w:p>
      <w:r>
        <w:t>A/2092/2024 - 15/26 -</w:t>
      </w:r>
    </w:p>
    <w:p>
      <w:r>
        <w:rPr>
          <w:b/>
        </w:rPr>
        <w:t>E. 6.1.1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6.1.2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6.1.3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w:t>
      </w:r>
    </w:p>
    <w:p>
      <w:r>
        <w:t>A/2092/2024 - 16/26 -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6.2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L’art. 27 al. 1 du règlement sur l'assurance-invalidité du 17 janvier 1961 (RAI - RS 831.201) dans sa teneur dès le 1er janvier 2018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 arrêt du Tribunal fédéral 9C_657/2021 du 22 novembre 2022 consid. 5.1).</w:t>
      </w:r>
    </w:p>
    <w:p>
      <w:r>
        <w:rPr>
          <w:b/>
        </w:rPr>
        <w:t>E. 6.3</w:t>
      </w:r>
    </w:p>
    <w:p>
      <w:r>
        <w:t>L'art. 27 bis RAI dans sa teneur du 1er janvier 2018 au 31 décembre 2021 – applicable ratione temporis (cf. arrêt du Tribunal fédéral 9C_553/2017 du 18 décembre 2017 consid. 5.2) – prévoyait que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 la perte de gain exprimée en pourcentage est pondérée au moyen du taux d'occupation qu'aurait l'assuré s'il n'était pas invalide (let. b)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Avec cette réglementation, le calcul du taux d’invalidité pour la partie concernant l’activité lucrative continue d’être régi par l’art. 16 LPGA. L’élément nouveau est que le revenu sans invalidité n’est plus déterminé sur la base du revenu correspondant au taux d’occupation de l’assuré, mais est désormais extrapolé pour</w:t>
      </w:r>
    </w:p>
    <w:p>
      <w:r>
        <w:t>A/2092/2024 - 17/26 -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(Gisella MAURO, Ralph LEUENBERGER, Changements dans la méthode mixte in Sécurité sociale, CHSS 1/2018).</w:t>
      </w:r>
    </w:p>
    <w:p>
      <w:r>
        <w:rPr>
          <w:b/>
        </w:rPr>
        <w:t>E. 6.4</w:t>
      </w:r>
    </w:p>
    <w:p>
      <w:r>
        <w:t>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L’évaluation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 Selon le principe de la « déclaration de la première heure » développé par la jurisprudence et applicable de manière générale en assurances sociales, en présence de deux versions différentes et contradictoires d'un fait, le juge peut accorder sa préférence à celle que l'assuré a donnée alors qu'il en ignorait peut- être les conséquences juridiques, les explications nouvelles pouvant être consciemment ou non le résultat de réflexions ultérieures (ATF 142 V 590 consid. 5.2 ; arrêt du Tribunal fédéral 9C_663/2009 du 1er février 2010 consid. 3.2).</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A/2092/2024 - 18/26 -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w:t>
      </w:r>
    </w:p>
    <w:p>
      <w:r>
        <w:t>A/2092/2024 - 19/26 -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il sied en premier lieu d’examiner si le statut mixte retenu par l’intimé est conforme au droit.</w:t>
      </w:r>
    </w:p>
    <w:p>
      <w:r>
        <w:rPr>
          <w:b/>
        </w:rPr>
        <w:t>E. 9.1</w:t>
      </w:r>
    </w:p>
    <w:p>
      <w:r>
        <w:t>Le recourant a toujours fait état d’activités exercées à temps partiel, et ses déclarations à l’enquêtrice sont univoques. Le recourant ne conteste d’ailleurs pas les avoir tenues mais soutient uniquement qu’elles découlent d’un malentendu, dont on ne voit cependant pas très bien en quoi il consisterait. Même s’il fallait considérer que le recourant a préféré des activités de nuit à temps partiel car elles étaient mieux rémunérées que des activités de jour, cela ne modifie en rien le caractère volontaire de ce mode d’organisation de sa vie professionnelle. On ajoutera que, même s’il tenait à travailler de nuit, le recourant aurait pu rechercher des compléments d’activités, par exemple en début de soirée ou en fin d’après- midi. Or, il n’existe aucun indice étayant les allégations à l’appui de son recours selon lesquelles il aurait cherché à augmenter son temps de travail, à compléter ses activités ou à trouver un autre emploi à temps complet. Partant, on doit admettre, notamment eu égard au principe des déclarations de la première heure, que le recourant aurait poursuivi une activité à temps partiel, même sans atteinte à la santé. Ses arguments selon lesquels son statut familial et son divorce l’auraient contraint à augmenter son taux d’activité afin de trouver un logement à la suite de sa séparation ne suffisent pas à retenir, au degré de la vraisemblance prépondérante, qu’il aurait cherché une activité à plein temps, sans atteinte à la santé. On doit noter ici que le recourant vit, avec sa compagne, dans un logement de quatre pièces depuis sa séparation en 2018, selon ce qui ressort de l’enquête ménagère et du rapport du Dr B______, de sorte qu’on ne saurait considérer qu’il lui aurait été indispensable de trouver un revenu rémunéré à plein temps pour se reloger de manière adéquate à la suite de sa séparation, sans atteinte à la santé. Au plan du calcul, l’intimé a établi que l’activité professionnelle était exercée à 75%. Le premier employeur a fait état d’une activité exercée huit à douze heures par semaine dans son rapport du 11 décembre 2018, et le second a fait état d’un taux d’activité de 50% dans l’annonce de sinistre, le contrat de travail avec cet employeur stipulant un revenu de CHF 2'100.- sur la base de la convention collective de travail. Le taux de 75% correspond à l’addition de ces taux d’activité en tenant compte d’une durée hebdomadaire de travail de 40 heures par semaine, une moyenne de dix heures par semaine étant prise en compte pour la première activité. Ce calcul s’avère donc exact.</w:t>
      </w:r>
    </w:p>
    <w:p>
      <w:r>
        <w:t>A/2092/2024 - 20/26 - On notera encore que l’enquête concluant à l’absence d’empêchement dans la sphère ménagère n’est pas contestée, et il n’y a pas lieu d’y revenir.</w:t>
      </w:r>
    </w:p>
    <w:p>
      <w:r>
        <w:rPr>
          <w:b/>
        </w:rPr>
        <w:t>E. 9.2</w:t>
      </w:r>
    </w:p>
    <w:p>
      <w:r>
        <w:t>Il convient d’examiner si l’expertise des Drs H______ et I______ satisfait aux exigences en matière de valeur probante de rapports médicaux. Cette expertise a été basée sur le dossier médical complet du recourant, qui y est résumé. Elle contient, au plan formel, les éléments nécessaires selon la jurisprudence, puisque les médecins ont relaté l’anamnèse, les plaintes du recourant, ont consigné leurs observations cliniques et posé des diagnostics précis avant de se prononcer sur la capacité de travail du recourant. Sur le fond, les contradictions que le recourant croit voir dans le rapport d’expertise et qu’il a énumérées dans son courrier de contestation, ne relèvent pas de contradictions intrinsèques de l’expertise, mais il s’agit en réalité de différences entre les rapports médicaux et pièces du dossier qui y sont cités. Il y a, en revanche, une contradiction importante dans le fait que l’expert orthopédiste retient une capacité de travail de 80%, en raison du problème lombaire, alors même que les experts ont admis dans leur consilium une capacité de travail totale dans une activité adaptée, sans aucunement expliquer cette différence. On relèvera, de plus, que les conclusions de l’orthopédiste sont quelque peu imprécises, voire contradictoires, puisqu’il semble retenir que les lombalgies entraînent une réduction de 20% de la capacité de travail, tout en ajoutant qu’une prise en charge des gonalgies et de l’omalgie permettrait d’augmenter la capacité de travail à 100%. On s’étonne, dans ces circonstances, que l’intimé n’ait pas invité les experts à préciser et clarifier leurs conclusions, et qu’il ne se soit pas déterminé sur cette contradiction, que le recourant a relevée à plusieurs reprises dans la présente procédure. Cela étant, comme on le verra ci-dessous, ce point n’a pas de répercussion pratique en l’espèce. Pour le surplus, la motivation des conclusions des experts selon lesquelles la capacité de travail est entière dans une activité adaptée est certes relativement succincte. Cela étant, ils ont fait état, dans ce cadre, d’examens cliniques rassurants, révélant une bonne mobilité, et de douleurs dont la cotation est relativement basse. Ils ont, en outre, tenu compte des plaintes du recourant dans la définition des limitations fonctionnelles. Ils ont, par ailleurs, évoqué des incohérences, citant notamment le fait que le recourant a été en mesure de se dévêtir et de se rhabiller en accomplissant des gestes qu’il disait douloureux, voire impossibles, qu’il a pu conduire durant deux heures en tout cas sans arrêt, et rester assis durant l’intégralité des entretiens, alors qu’il soutient ne pas pouvoir tenir la position assise plus d’une heure. Ainsi, contrairement à ce que soutient le recourant, les experts ne se sont pas bornés à exclure toute incapacité de travail en raison du seul fait qu’il avait pu conduire, sans s’arrêter, de Genève à Fribourg. À ce sujet, ses explications quant au fait qu’il se serait simplement plié à ses obligations de collaborer et aurait pris des médicaments ne convainquent pas.</w:t>
      </w:r>
    </w:p>
    <w:p>
      <w:r>
        <w:t>A/2092/2024 - 21/26 - D’une part, il aurait pu se rendre à l’examen en aménageant des pauses si celles-ci étaient indispensables. D’autre part, si la médication lui permet de surmonter ses douleurs, on ne comprend pas pourquoi tel ne serait pas le cas dans la vie quotidienne et dans le cadre d’une activité lucrative, étant souligné que le recourant n’allègue pas qu’il aurait pris des antalgiques dans une mesure excédant la posologie recommandée, étant précisé que la compliance à un traitement médicamenteux paraît relever d’un traitement exigible au sens de l’art. 7 al. 1 LPGA, en l’absence de contre-indication médicalement établie. Or, dans le cas d’espèce, si le recourant a rapporté des maux de ventre en lien avec la prise d’antalgiques, aucun médecin n’a fait état d’effets secondaires incompatibles avec la poursuite du traitement ou émis de réserves à ce sujet. Quant au fait que les experts auraient mal interprété les déclarations du recourant en concluant que celui-ci espérait une rente, il n’a guère de portée. En effet, ce point n’est pas déterminant pour apprécier la capacité de travail médico-théorique, même s’il peut être pris en compte pour apprécier la cohérence du comportement d’un assuré. En ce qui concerne le fait que l’expert orthopédiste a indiqué que la situation n’était pas stabilisée, cela ne suffit pas non plus à conclure à l’inexigibilité d’une reprise professionnelle. En effet, cette assertion doit être comprise en ce sens que des arthroscopies pourraient être bénéfiques au recourant. Cela étant, aucun des médecins traitants – malgré le traitement relativement intensif et l’échec des nombreuses infiltrations – n’a suggéré pour l’heure de telles interventions. Celles- ci n’apparaissent ainsi pas comme des traitements concrètement envisagés actuellement, et l’expert en a lui-même relativisé l’indication puisqu’il note que celles-ci pourraient « potentiellement » avoir lieu. S’agissant du fait que les Drs H______ et I______ n’ont retenu d’incapacité de travail que dès la date de l’intervention pratiquée en mai 2020, il faut préciser que cette évaluation se réfère, non pas à l’activité antérieure d’agent de sécurité – dans laquelle ils ont admis une incapacité de travail totale depuis juillet 2017 – mais à une activité adaptée, dont aucun médecin traitant n’excluait expressément l’exercice jusqu’à cette intervention. La fin de l’incapacité de travail transitoire liée à l’arthroscopie pratiquée, établie six mois après celle-ci, ne prête pas non plus le flanc à la critique, malgré l’inflammation à l’épaule rapportée en décembre 2020 par les médecins des HUG, puisqu’elle s’entend également dans une activité épargnant les épaules. La mention dans le volet rhumatologique de l’expertise d’une douleur de l’épaule gauche, apparue en mai 2020, dans les suites d’une rixe dans le cadre de son travail, est certes inexacte. Cette erreur n’est cependant pas d’une importance telle qu’elle invaliderait l’intégralité de l’expertise, a fortiori dès lors que la cause et les circonstances d’apparition d’une atteinte ne revêtent pas une portée essentielle en matière d’assurance-invalidité, comme cela peut être le cas dans l’assurance- accidents.</w:t>
      </w:r>
    </w:p>
    <w:p>
      <w:r>
        <w:t>A/2092/2024 - 22/26 - Le recourant fait, en outre, valoir que l’expert rhumatologue ne disposerait pas d’un titre de spécialiste FMH. À ce sujet, les Lignes directrices pour l’expertise rhumatologique établies par la Société Suisse de Rhumatologie, accessibles en ligne https://www.rheuma-net.ch/images/pdf/lignes-directrices-pour-lexpertise- rhumatologique-05-2018.pdf, prévoient au chiffre 2.4 qu’une des exigences posées à l’expert est que celui-ci dispose d’une formation de spécialiste en rhumatologie, mais elles n’exigent pas qu’il soit titulaire d’un titre de spécialiste de la FMH. En l’espèce, selon le registre des professions médicales MedReg, le Dr I______ est titulaire d’un titre de spécialiste obtenu en France après une formation post-graduée, et faisant l’objet d’une reconnaissance. Il ne s’est, par ailleurs, pas prévalu d’un titre de spécialiste FMH. On ne se trouve pas dans la situation ayant conduit à l’arrêt I 65/07 du 31 août 2007, dans lequel le Tribunal fédéral a retenu que le médecin examinateur s’était précisément arrogé un tel titre dans son rapport, alors qu’il ne pouvait pas y prétendre et qu’il ne disposait pas de l'autorisation de pratiquer prévue par le droit cantonal, ce qui entachait la fiabilité de son rapport. On doit, de plus, souligner que les conclusions des experts paraissent concorder avec l’appréciation des autres médecins. Il faut rappeler que le Dr B______ avait, dans son expertise, conclu à une pleine capacité de travail dans une activité adaptée, en relevant que les plaintes n’étaient pas objectivées par les éléments radio-cliniques, constat partagé par la Dre C______ s’agissant des lombalgies. La Dre D______ retenait, elle aussi, à fin 2018, une pleine capacité de travail dans une activité adaptée, à l’instar du Dr F______, qui a fait état de l’exigibilité d’un travail à temps complet, dans son rapport du 25 mars 2020. Ce médecin est, certes, revenu sur cette appréciation, puisqu’il a mentionné une capacité de travail de 50% dans une activité adaptée, dans ses rapports du 2 mars 2021 et du 24 octobre 2022, puis une capacité de travail nulle dans une activité adaptée le 24 juillet 2023. Cependant, ces changements d’appréciation ne sont pas motivés et ne suffisent ainsi pas à mettre en doute l’expertise, en particulier dès lors que malgré certaines précisions diagnostiques, l’état de santé, les limitations fonctionnelles et les douleurs décrits par le Dr F______ dans ses différents rapports, paraissent pour l’essentiel superposables, celui-ci indiquant l’absence de changement en octobre 2022 et une évolution stationnaire en juillet 2023. On notera, du reste, que les limitations fonctionnelles admises par les experts vont au-delà de celles retenues par ce médecin. Quant aux médecins des HUG, ils ne se sont pas expressément prononcés sur la capacité de travail du recourant dans une activité adaptée. Enfin, l’aggravation de l’état de santé, signalée en octobre 2024 par le Dr J______, est postérieure à la décision attaquée, si bien que son éventuelle incidence sur la capacité de gain du recourant n’a, en toute hypothèse, pas à être analysée dans la présente procédure. En effet, le juge apprécie la légalité des décisions attaquées d'après l'état de fait existant au moment où la décision</w:t>
      </w:r>
    </w:p>
    <w:p>
      <w:r>
        <w:t>A/2092/2024 - 23/26 - litigieuse a été rendue. Les faits survenus postérieurement et ayant modifié cette situation doivent en principe faire l'objet d'une nouvelle décision administrative (ATF 144 V 210 consid. 4.3.1 ; arrêt du Tribunal fédéral 9C_758/2020 du 25 mai 2021 consid. 3.2). Cela vaut également pour l’accroissement de la hernie discale constaté en septembre 2024.</w:t>
      </w:r>
    </w:p>
    <w:p>
      <w:r>
        <w:rPr>
          <w:b/>
        </w:rPr>
        <w:t>E. 9.3</w:t>
      </w:r>
    </w:p>
    <w:p>
      <w:r>
        <w:t>Le recourant fait, en outre, valoir que l’intimé ne pouvait retenir d’activité exigible sans lui avoir fait suivre le stage d’observation dans un centre d’observation professionnelle de l’assurance-invalidité, dont le SMR avait retenu la nécessité. Cet argument ne lui est d’aucun secours, sans qu’il soit nécessaire d’examiner s’il a refusé de se soumettre à une telle mesure ou en a simplement souhaité le report à une date ultérieure pour des raisons de santé, de sorte que la question de son aptitude subjective comme condition du droit à une telle mesure peut rester ouverte. En effet, le droit à l'orientation professionnelle selon l'art. 15 LAI suppose que l'assuré est capable en lui-même de faire le choix d'une profession ou d'une nouvelle orientation professionnelle, mais qu’à la suite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9C_236/2012 du 15 février 2013 consid. 3.5). Dans le cas d'un assuré dont l'activité après invalidité devait être adaptée à des mesures classiques d'épargne du rachis, le Tribunal fédéral a retenu que le caractère relativement anodin de l'atteinte à la santé n'exigeait pas une mesure d'orientation complète, les propositions formulées par le service de réadaptation de l'assurance-invalidité étaient suffisantes, et que le marché du travail équilibré présentait un éventail suffisamment large d'activités légères, dont un nombre significatif étaient adaptées et accessibles sans aucune formation particulière, si bien qu'il n'existait guère d'obstacles à l'exercice d'un emploi adapté (arrêt du Tribunal fédéral 9C_534/2010 du 10 février 2011 consid. 4.3). Au vu des limitations fonctionnelles dans le cas d’espèce – correspondant en substance à l’exercice d’une activité sédentaire avec mesures d’épargne du rachis et sans sollicitations excessives des épaules – il n’apparaît pas d’emblée que la nature de l’atteinte est telle qu’elle imposerait un stage d’observation. De plus, le stage auprès de la Fondation IPT a déjà permis au recourant de suivre notamment le module PIE (Prise d'Informations en Entreprise), soit une méthode de recherche d'emploi alternative, axée sur l'approche du marché caché de l'emploi. À l’issue de cette mesure, plusieurs pistes professionnelles adaptées du point de vue médical ont été énumérées. Enfin, les exemples d’activités donnés par l’intimé et accessibles, sans formation particulière, paraissent effectivement adaptés aux limitations fonctionnelles du recourant. S’agissant de son affirmation selon laquelle la position assise lui serait impossible, elle ne correspond pas aux limitations fonctionnelles retenues au plan médical, et les postes suggérés par</w:t>
      </w:r>
    </w:p>
    <w:p>
      <w:r>
        <w:t>A/2092/2024 - 24/26 - l’intimé semblent, quoi qu’il en soit, compatibles avec des changements de position, en se levant brièvement au besoin.</w:t>
      </w:r>
    </w:p>
    <w:p>
      <w:r>
        <w:rPr>
          <w:b/>
        </w:rPr>
        <w:t>E. 9.4</w:t>
      </w:r>
    </w:p>
    <w:p>
      <w:r>
        <w:t>Reste à vérifier le calcul du taux d’invalidité effectué par l’intimé. Comme on l’a vu, le statut mixte et la pondération à 75% de la sphère professionnelle doivent être confirmés dans le cas d’espèce. S’agissant du revenu sans invalidité, l’intimé s’est référé au salaire de CHF 2'100.- multiplié par douze mensualités, selon le contrat conclu avec le premier employeur. Pour le second employeur, il a retenu un salaire horaire de CHF 36.15, vacances incluses, multiplié par 10.5 heures par semaine pour un 25%, au vu de l’horaire hebdomadaire de 42 heures annoncé par l’employeur dans la déclaration d’accident. Cela correspond en 2017 à CHF 17'840.-. Le revenu global se montant ainsi à CHF 43'040.- en 2017, et après indexation à CHF 43'255.20 en 2018 et à CHF 43'994.- en 2020. Extrapolés à 100%, les revenus avant invalidité étaient de CHF 57'633.- en 2018 et de CHF 58'659.- en 2020. On notera que les bases de calcul du revenu sans invalidité appliquées par l’intimé s’avèrent favorables au recourant, puisque, selon son compte individuel AVS – lequel est en principe déterminant selon l’art. 25 du règlement sur l'assurance- vieillesse et survivants du 31 octobre 1947 (RAVS - RS 831.101), ses revenus déclarés s’élevaient à CHF 8'205.- et CHF 10'952.- en 2015, CHF 4'200.- et CHF 15'110.- en 2016, CHF 10'500.- et CHF 7'699.- en 2017 et étaient ainsi largement inférieurs à ceux retenus par l’intimé. Quant au revenu après atteinte à la santé, c’est à juste titre que l’intimé l’a fondé sur le revenu tiré d’activités simples et répétitives selon les ESS dans leurs éditions de 2018 et 2020. On doit ainsi retenir un revenu après invalidité de CHF 67'768.- en 2018 et CHF 65'815.- en 2020 après adaptation à la durée normale de travail. L’intimé a concédé un abattement de 10% sur ce revenu, ce qui le porte à respectivement CHF 60'991.- en 2018 et CHF 59'234.- en 2020. Dès lors que l’intimé n’a pas excédé son pouvoir d’appréciation en retenant un abattement de 10%, la chambre de céans n’est pas fondée à le revoir. Il convient de revenir ici sur la contradiction contenue dans le rapport d’expertise et la capacité de travail de 80% articulée par l’expert orthopédiste, en soulignant que, même en tenant compte d’une capacité de travail réduite à ce taux, et même en appliquant l’abattement maximal de 25% sur le revenu statistique d’invalide, les degrés d’invalidité seraient respectivement de 29% en 2018 et 31% en 2020, ce qui serait insuffisant pour ouvrir le droit à la rente, même sans tenir compte de la pondération résultant du statut mixte du recourant. Ces comparaisons révèlent l’absence totale de perte de gain à la suite de l’atteinte à la santé.</w:t>
      </w:r>
    </w:p>
    <w:p>
      <w:r>
        <w:t>A/2092/2024 - 25/26 - Compte tenu de ces éléments, c’est à juste titre que l’intimé a alloué à l’assuré une rente entière dès le 1er août 2020 – soit trois mois après l’incapacité de travail totale dans une activité adaptée que l’arthroscopie pratiquée en mai 2020 a entraînée, conformément à l’art. 88a al. 2 RAI – et qu’il y a mis un terme dès le 1er février 2021, soit trois mois après novembre 2020, date à laquelle le recourant a recouvré, à dires d’expert, une pleine capacité de travail dans une activité adaptée. La décision doit ainsi être confirmée dans son résultat.</w:t>
      </w:r>
    </w:p>
    <w:p>
      <w:r>
        <w:rPr>
          <w:b/>
        </w:rPr>
        <w:t>E. 10.1</w:t>
      </w:r>
    </w:p>
    <w:p>
      <w:r>
        <w:t>Mal fondé, le recours est rejeté.</w:t>
      </w:r>
    </w:p>
    <w:p>
      <w:r>
        <w:rPr>
          <w:b/>
        </w:rPr>
        <w:t>E. 10.2</w:t>
      </w:r>
    </w:p>
    <w:p>
      <w:r>
        <w:t>La procédure en matière de contestations portant sur des prestations de l’assurance-invalidité n’étant pas gratuite (art. 69 al. 1bis LAI), le recourant supporte l’émolument de procédure de CHF 200.-.</w:t>
      </w:r>
    </w:p>
    <w:p>
      <w:r>
        <w:t>A/2092/2024 - 26/26 -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