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ATAS/1058/2018 vom 14. November 2018</w:t>
      </w:r>
    </w:p>
    <w:p>
      <w:r>
        <w:t>GE Cour de justice, 2018-11-14, FR</w:t>
      </w:r>
    </w:p>
    <w:p>
      <w:r>
        <w:rPr>
          <w:b/>
        </w:rPr>
        <w:t xml:space="preserve">Quelle: </w:t>
      </w:r>
      <w:r>
        <w:t>https://mcp.opencaselaw.ch/entscheid/ge_gerichte_ATAS_1058_2018</w:t>
      </w:r>
    </w:p>
    <w:p>
      <w:r>
        <w:t>FR: GE_GERICHTE ATAS/1058/2018 du 14 novembre 2018</w:t>
      </w:r>
    </w:p>
    <w:p>
      <w:r>
        <w:t>IT: GE_GERICHTE ATAS/1058/2018 del 14 novembre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aux prestations de l'intimée au-delà du 21 avril 2017.</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w:t>
      </w:r>
    </w:p>
    <w:p>
      <w:r>
        <w:t>A/1881/2018 - 5/9 -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w:t>
      </w:r>
    </w:p>
    <w:p>
      <w:r>
        <w:rPr>
          <w:b/>
        </w:rPr>
        <w:t>E. 11</w:t>
      </w:r>
    </w:p>
    <w:p>
      <w:r>
        <w:t>août 2015 consid. 3). Suivant la définition même de l'accident, le caractère extraordinaire de l'atteinte ne concerne pas les effets du facteur extérieur, mais seulement ce facteur lui-même.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n°U 345 p. 422 consid. 2b). b. L’art. 6 al. 2 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c. La jurisprudence a précisé les conditions d'octroi des prestations en cas de lésion corporelle assimilée à un accident. 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aOLAA sont assimilées à un accident même si elles ont, pour l'essentiel, une origine vraisemblablement maladive ou dégénérative, pour autant qu'une cause</w:t>
      </w:r>
    </w:p>
    <w:p>
      <w:r>
        <w:t>A/1881/2018 - 6/9 - extérieure ait, au moins, déclenché les symptômes dont souffre l'assuré (ATF 139 V 327 consid. 3.1; ATF 123 V 43 consid. 2b et les arrêts cités). En l'absence de cause extérieure, soit d'un événement similaire à un accident, externe au corps humain susceptible d'être constaté de manière objective et qui présente une certaine importance, fût-ce comme simple facteur déclenchant des lésions corporelles énumérées à l’art. 9 al. 2 aOLAA, les troubles constatés ne sont pas à la charge de l'assurance-accidents (ATF 129 V 466 consid. 4.2; arrêt du Tribunal fédéral du 23 mai 2017 précité, consid.4.2).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aOLAA,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w:t>
      </w:r>
    </w:p>
    <w:p>
      <w:r>
        <w:t>A/1881/2018 - 7/9 - L'existence d'une cause extérieure permettant d'assimiler une lésion au sens de l’art. 9 al. 2 aOLAA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cm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w:t>
      </w:r>
    </w:p>
    <w:p>
      <w:r>
        <w:rPr>
          <w:b/>
        </w:rPr>
        <w:t>E. 16</w:t>
      </w:r>
    </w:p>
    <w:p>
      <w:r>
        <w:t>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A/1881/2018 - 8/9 -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8.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380 consid. 2). 9. En l'espèce, il n'est pas contesté que le recourant a subi, le 25 juin 2016, une lésion corporelle correspondant à celles décrites à l'art. 9 al. 2 aOLAA. Le recourant a indiqué, dans le questionnaire relatif aux circonstances de « l’accident » du 11 juillet 2016, qu’il s’était tordu le pied gauche en descendant à pieds nus les escaliers à son domicile et qu'il s’agissait d’une activité habituelle qui s’était déroulée dans des conditions normales. Lors d'un entretien du 3 mars 2017, il a précisé qu’il n’avait pas les bras chargés et qu’il descendait les escaliers sans se dépêcher ni courir. À un moment donné, sans effectuer de mouvement particulier, il avait ressenti un long « crac ». Il n’avait pas chuté, ni glissé, ni manqué une marche et ne se souvenait pas d’un mouvement de torsion. Le 31 mai 2018, le recourant a fait valoir qu’il avait indiqué de manière constante s’être tordu le pied en descendant les escaliers à pieds nus. Force est de constater, à teneur des descriptions de l'événement faites par le recourant, qu'aucune cause extérieure n’a participé à son atteinte du 25 juin 2016 et qu'il n’a pas eu une activité générant un risque de lésion accru. Le seul fait de descendre les escaliers à pieds nus ne suffit pas, à teneur de la jurisprudence, pour retenir un facteur extérieur dommageable. Le recourant n'a en outre pas décrit avoir fait un faux pas, de sorte que sa situation n’est pas similaire à celle ayant fait l'objet de l'arrêt du Tribunal fédéral qu'il a invoqué (8C_822/2007 du 5 août 2008 consid. 3.2). Il en résulte que le recourant n'a pas subi de lésion assimilée à un accident, au sens de l'art. 9 al. 2 aOLAA, et que c'est à juste titre que l'intimée a refusé de prendre en charge les suites de l'événement dès le 21 avril 2017. La décision querellée doit ainsi être confirmée. 10. Infondé, le recours sera rejeté. 11. La procédure est gratuite.</w:t>
      </w:r>
    </w:p>
    <w:p>
      <w:r>
        <w:t>A/1881/2018 - 9/9 -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