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ATAS/1057/2010 vom 14. Oktober 2010</w:t>
      </w:r>
    </w:p>
    <w:p>
      <w:r>
        <w:t>GE Cour de justice, 2010-10-14, FR</w:t>
      </w:r>
    </w:p>
    <w:p>
      <w:r>
        <w:rPr>
          <w:b/>
        </w:rPr>
        <w:t xml:space="preserve">Quelle: </w:t>
      </w:r>
      <w:r>
        <w:t>https://mcp.opencaselaw.ch/entscheid/ge_gerichte_ATAS_1057_2010</w:t>
      </w:r>
    </w:p>
    <w:p>
      <w:r>
        <w:t>FR: GE_GERICHTE ATAS/1057/2010 du 14 octobre 2010</w:t>
      </w:r>
    </w:p>
    <w:p>
      <w:r>
        <w:t>IT: GE_GERICHTE ATAS/1057/2010 del 14 ottobre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En vertu du principe général de droit transitoire, selon lequel – en cas de changement de</w:t>
      </w:r>
    </w:p>
    <w:p>
      <w:r>
        <w:t>A/4774/2008 - 6/11 - bases légales – les règles applicables sont celles en vigueur au moment où se sont produits les faits juridiquement déterminants, il y a lieu d’examiner le droit à une rente au regard de l’ancien droit pour la période jusqu’au 31 décembre 2002 (loi fédérale sur la partie générale de droit des assurances sociales), respectivement 31 décembre 2003 (LAI) et en fonction de la nouvelle réglementation légale après cette dernière date (ATF 130 V 455 et les références). Les règles de procédure s’appliquent sans réserve dès le jour de leur entrée en vigueur (ATF 117 V 93).</w:t>
      </w:r>
    </w:p>
    <w:p>
      <w:r>
        <w:rPr>
          <w:b/>
        </w:rPr>
        <w:t>E. 4</w:t>
      </w:r>
    </w:p>
    <w:p>
      <w:r>
        <w:t>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5</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w:t>
      </w:r>
    </w:p>
    <w:p>
      <w:r>
        <w:rPr>
          <w:b/>
        </w:rPr>
        <w:t>E. 6</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w:t>
      </w:r>
    </w:p>
    <w:p>
      <w:r>
        <w:rPr>
          <w:b/>
        </w:rPr>
        <w:t>E. 7</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w:t>
      </w:r>
    </w:p>
    <w:p>
      <w:r>
        <w:t>A/4774/2008 - 7/11 - le recours de droit administratif a été formé après le 1er juillet 2006 (ch. II let. c des dispositions transitoires relatives à la modification du 16 décembre 2005).</w:t>
      </w:r>
    </w:p>
    <w:p>
      <w:r>
        <w:rPr>
          <w:b/>
        </w:rPr>
        <w:t>E. 8</w:t>
      </w:r>
    </w:p>
    <w:p>
      <w:r>
        <w:t>Le litige porte essentiellement sur l’appréciation du caractère invalidant de la maladie de CROHN dont souffre le recourant et de son degré de capacité de travail.</w:t>
      </w:r>
    </w:p>
    <w:p>
      <w:r>
        <w:rPr>
          <w:b/>
        </w:rPr>
        <w:t>E. 9</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w:t>
      </w:r>
    </w:p>
    <w:p>
      <w:r>
        <w:rPr>
          <w:b/>
        </w:rPr>
        <w:t>E. 10</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w:t>
      </w:r>
    </w:p>
    <w:p>
      <w:r>
        <w:rPr>
          <w:b/>
        </w:rPr>
        <w:t>E. 11</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119 V 470 consid. 2b, 116 V 249 consid. 1b et les arrêts cités; ATFA non publiés du 16 juin 2005, I 425/04 et U 174/04).</w:t>
      </w:r>
    </w:p>
    <w:p>
      <w:r>
        <w:rPr>
          <w:b/>
        </w:rPr>
        <w:t>E. 12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A/4774/2008 - 8/11 -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13</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14</w:t>
      </w:r>
    </w:p>
    <w:p>
      <w:r>
        <w:t>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t>A/4774/2008 - 9/11 -</w:t>
      </w:r>
    </w:p>
    <w:p>
      <w:r>
        <w:rPr>
          <w:b/>
        </w:rPr>
        <w:t>E. 15</w:t>
      </w:r>
    </w:p>
    <w:p>
      <w:r>
        <w:t>En l’occurrence se trouvent notamment au dossier des rapports du Dr. A____________ qui suit depuis de nombreuses années le recourant ainsi que des rapports du SMR et un rapport d’expertise du Prof. C____________.</w:t>
      </w:r>
    </w:p>
    <w:p>
      <w:r>
        <w:rPr>
          <w:b/>
        </w:rPr>
        <w:t>E. 16</w:t>
      </w:r>
    </w:p>
    <w:p>
      <w:r>
        <w:t>Pour sa part, le Dr. A____________ a relevé, lors de l’audience d’enquêtes, qu’une activité plus importante qu'un 50% serait préjudiciable à l'évolution de la maladie du recourant et qu’il ne croyait pas que ce dernier soit capable de travailler à plus de 50%, ceci en me basant sur sa connaissance du patient et son expérience. » Le Dr. A____________ a encore précisé, à cette occasion, que le recourant ne l’avait jamais consulté pour un problème de dépression.</w:t>
      </w:r>
    </w:p>
    <w:p>
      <w:r>
        <w:rPr>
          <w:b/>
        </w:rPr>
        <w:t>E. 17</w:t>
      </w:r>
    </w:p>
    <w:p>
      <w:r>
        <w:t>Si le rapport d’expertise du Prof. C____________ peut paraître succinct, il sied de relever que cette expertise expose l’anamnèse et prend en considération aussi bien les données subjectives du recourant que les constatations objectives. Le Prof. C____________ pose des diagnostics clairs et développe une appréciation du cas du recourant en répondant de façon claire aux questions. Les conclusions étant motivées et dépourvues de contradiction, l’expertise du Prof. C____________ répond à tous les réquisits pour lui voir attribuer pleine valeur probante.</w:t>
      </w:r>
    </w:p>
    <w:p>
      <w:r>
        <w:rPr>
          <w:b/>
        </w:rPr>
        <w:t>E. 18</w:t>
      </w:r>
    </w:p>
    <w:p>
      <w:r>
        <w:t>Il y a lieu de relever que, s’appuyant sur le rapport de réadaptation professionnelle et sur un avis médical, succinct également, du SMR, l’OAI constate que le recourant présente une incapacité de travail de 50% depuis novembre 1998. Se ralliant ainsi aux réponses du Prof. C____________ et compte tenu du délai de carence, l’OAI conclut à l’octroi d’une demi-rente d’invalidité dès le mois de novembre 1999.</w:t>
      </w:r>
    </w:p>
    <w:p>
      <w:r>
        <w:rPr>
          <w:b/>
        </w:rPr>
        <w:t>E. 19</w:t>
      </w:r>
    </w:p>
    <w:p>
      <w:r>
        <w:t>Enfin, il sied de constater que le recourant qui ne s’est pas prononcé au sujet du contenu du rapport d’expertise, malgré les sollicitations du Tribunal, concluait à l’octroi d’une demi-rente d’invalidité, conclusions confirmées lors de son audition en comparution personnelle du 27 avril 2009.</w:t>
      </w:r>
    </w:p>
    <w:p>
      <w:r>
        <w:rPr>
          <w:b/>
        </w:rPr>
        <w:t>E. 20</w:t>
      </w:r>
    </w:p>
    <w:p>
      <w:r>
        <w:t>Eu égard aux considérations qui précèdent, le recours doit donc être admis en ce sens que le recourant a droit à demi-rente dès le 1er novembre 1999. La décision du 19 novembre 2008 doit donc être annulée. Le recourant n’ayant pas eu recours à l’assistance d’un conseil, il ne lui sera pas accordé de participation à ses frais et dépens. L’intimé supportera les frais de justice fixés à 200 fr..</w:t>
      </w:r>
    </w:p>
    <w:p>
      <w:r>
        <w:t>A/4774/2008 - 10/11 -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