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ATAS/1056/2024 vom 23. Dezember 2024</w:t>
      </w:r>
    </w:p>
    <w:p>
      <w:r>
        <w:t>GE Cour de justice, 2024-12-23, FR</w:t>
      </w:r>
    </w:p>
    <w:p>
      <w:r>
        <w:rPr>
          <w:b/>
        </w:rPr>
        <w:t xml:space="preserve">Quelle: </w:t>
      </w:r>
      <w:r>
        <w:t>https://mcp.opencaselaw.ch/entscheid/ge_gerichte_ATAS_1056_2024</w:t>
      </w:r>
    </w:p>
    <w:p>
      <w:r>
        <w:t>FR: GE_GERICHTE ATAS/1056/2024 du 23 décembre 2024</w:t>
      </w:r>
    </w:p>
    <w:p>
      <w:r>
        <w:t>IT: GE_GERICHTE ATAS/1056/2024 del 23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t>A/1952/2024 - 7/25 -</w:t>
      </w:r>
    </w:p>
    <w:p>
      <w:r>
        <w:rPr>
          <w:b/>
        </w:rPr>
        <w:t>E. 2.1.1</w:t>
      </w:r>
    </w:p>
    <w:p>
      <w:r>
        <w:t>; 130 V 396 consid. 5.3 et 6).</w:t>
      </w:r>
    </w:p>
    <w:p>
      <w:r>
        <w:rPr>
          <w:b/>
        </w:rPr>
        <w:t>E. 2.2</w:t>
      </w:r>
    </w:p>
    <w:p>
      <w:r>
        <w:t>En l’occurrence, le litige porte sur le droit de la recourante à une rente d’invalidité, singulièrement sur l’évaluation de sa capacité de travail et de ses empêchements ménagers, ainsi que sur son statut, cette question étant dans un rapport de connexité étroit avec le calcul du degré d’invalidité.</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w:t>
      </w:r>
    </w:p>
    <w:p>
      <w:r>
        <w:t>A/1952/2024 - 11/25 -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w:t>
      </w:r>
    </w:p>
    <w:p>
      <w:r>
        <w:t>A/1952/2024 - 12/25 -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w:t>
      </w:r>
    </w:p>
    <w:p>
      <w:r>
        <w:t>A/1952/2024 - 13/25 - incohérent de l'assuré est là aussi un indice que la limitation fonctionnelle est due à d’autres raisons qu’à l'atteinte à la santé assurée (ATF 141 V 281 consid. 4.4.2).</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la décision querellée a certes été rendue postérieurement au 1er janvier 2022. Toutefois, la demande de prestations ayant été déposée en 2020 et le délai d’attente d’une année venant à échéance le 1er septembre 2020, un éventuel droit à une rente d’invalidité naîtrait antérieurement au 1er janvier 2022 (art. 28 al. 1 let. b et 29 al. 1 LAI), de sorte que les dispositions applicables seront citées dans leur teneur en vigueur jusqu’au 31 décembre 2021. En outre, dans la mesure où la recourante avait, au 1er janvier 2022, 30 ans révolus mais moins de 55 ans, la quotité éventuelle de sa rente subsisterait tant que son taux d’invalidité ne subit pas de modification au sens de l’art. 17 al. 1 LPGA.</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w:t>
      </w:r>
    </w:p>
    <w:p>
      <w:r>
        <w:t>A/1952/2024 - 14/25 -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 129 V 67 consid. 2.3.2 publié in VSI 2003 p. 221 ; arrêts du Tribunal fédéral 9C_625/2017 du 26 mars 2018 consid. 6.2 et I 733/06 du 16 juillet 2007).</w:t>
      </w:r>
    </w:p>
    <w:p>
      <w:r>
        <w:rPr>
          <w:b/>
        </w:rPr>
        <w:t>E. 3.2.2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3.2.3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rPr>
          <w:b/>
        </w:rPr>
        <w:t>E. 3.2.4</w:t>
      </w:r>
    </w:p>
    <w:p>
      <w:r>
        <w:t>Pour des motifs de proportionnalité, on peut renoncer à une appréciation selon la grille d’évaluation normative et structurée si elle n’est pas nécessaire ou si elle est inappropriée. Il en va ainsi notamment lorsqu’il n’existe aucun indice en</w:t>
      </w:r>
    </w:p>
    <w:p>
      <w:r>
        <w:t>A/1952/2024 - 9/25 -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du11 juillet 2019 consid. 7). En l’absence d’un diagnostic psychiatrique, une telle appréciation n’a pas non plus à être effectuée (arrêt du Tribunal fédéral 9C_176/2018 du 16 août 2018 consid. 3.2.2).</w:t>
      </w:r>
    </w:p>
    <w:p>
      <w:r>
        <w:rPr>
          <w:b/>
        </w:rPr>
        <w:t>E. 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w:t>
      </w:r>
    </w:p>
    <w:p>
      <w:r>
        <w:t>A/1952/2024 - 10/25 -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3.5</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3.6.2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3.6.4</w:t>
      </w:r>
    </w:p>
    <w:p>
      <w:r>
        <w:t>En ce qui concerne les rapports établis par les médecins traitants, le juge peut et doit tenir compte du fait que, selon l'expérience, le médecin traitant est</w:t>
      </w:r>
    </w:p>
    <w:p>
      <w:r>
        <w:t>A/1952/2024 - 15/25 -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3.7</w:t>
      </w:r>
    </w:p>
    <w:p>
      <w:r>
        <w:t>La procédure d’administration des preuves qui prévaut en matière de troubles douloureux sans substrat organique et de troubles psychosomatiques analogues est applicable à toutes les maladies psychiques (ATF 143 V 418),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3.8</w:t>
      </w:r>
    </w:p>
    <w:p>
      <w:r>
        <w:t>Tant lors de l'examen initial du droit à la rente qu'à l'occasion d'une révision de celle-ci (art. 17 LPGA), il faut examiner sous l'angle des art. 4 et 5 LAI quelle</w:t>
      </w:r>
    </w:p>
    <w:p>
      <w:r>
        <w:t>A/1952/2024 - 16/25 -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3.9.1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w:t>
      </w:r>
    </w:p>
    <w:p>
      <w:r>
        <w:t>A/1952/2024 - 17/25 -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w:t>
      </w:r>
    </w:p>
    <w:p>
      <w:r>
        <w:rPr>
          <w:b/>
        </w:rPr>
        <w:t>E. 3.10</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w:t>
      </w:r>
    </w:p>
    <w:p>
      <w:r>
        <w:t>A/1952/2024 - 18/25 - générale de comparaison des revenus ;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des assurances I 168/05 du 24 avril 2006 consid. 3.3 et B 80/01 du 17 octobre 2003 consid. 5.2.2). Le salaire réalisé en dernier lieu comprend tous les revenus d'une activité lucrative (y compris les gains accessoires, la rémunération des heures supplémentaires</w:t>
      </w:r>
    </w:p>
    <w:p>
      <w:r>
        <w:t>A/1952/2024 - 19/25 - effectuées de manière régulière) soumis aux cotisations à l'assurance-vieillesse et survivants. À cet effet, on se fondera en principe sur les renseignements fournis par l'employeur (arrêt du Tribunal fédéral 9C_434/2023 du 30 novembre 2023 consid. 3 et la référence).</w:t>
      </w:r>
    </w:p>
    <w:p>
      <w:r>
        <w:rPr>
          <w:b/>
        </w:rPr>
        <w:t>E. 3.11</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w:t>
      </w:r>
    </w:p>
    <w:p>
      <w:r>
        <w:t>A/1952/2024 - 23/25 - allégation de lourds handicaps malgré un environnement psychosocial intact) ?</w:t>
      </w:r>
    </w:p>
    <w:p>
      <w:r>
        <w:rPr>
          <w:b/>
        </w:rPr>
        <w:t>E. 4.6</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 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t>A/1952/2024 - 24/25 -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les diagnostics retenus, indiquer et détailler l’évolution de ce taux</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septembre 2019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t>A/1952/2024 - 25/25 -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 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l'avis de l’expert K______ du 7 juillet 2023 (expertise du I______) ? En particulier avec les diagnostics posés et l’estimation d'une capacité de travail nulle de mars 2020 à juillet 2021 et de 70% ensuite ? Si non, pourquoi ?</w:t>
      </w:r>
    </w:p>
    <w:p>
      <w:r>
        <w:rPr>
          <w:b/>
        </w:rPr>
        <w:t>E. 11.2</w:t>
      </w:r>
    </w:p>
    <w:p>
      <w:r>
        <w:t>Êtes-vous d’accord avec les avis de la Dre G______ des 28 novembre 2020, 12 juin 2021, 12 septembre 2022 et 24 janvier 2024 ? En particulier avec les diagnostics posés, les limitations fonctionnelles constatées et l’estimation d’une capacité de travail nulle de la recourante depuis septembre 2020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l’experte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