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ATAS/1056/2023 vom 22. Dezember 2023</w:t>
      </w:r>
    </w:p>
    <w:p>
      <w:r>
        <w:t>GE Cour de justice, 2023-12-22, FR</w:t>
      </w:r>
    </w:p>
    <w:p>
      <w:r>
        <w:rPr>
          <w:b/>
        </w:rPr>
        <w:t xml:space="preserve">Quelle: </w:t>
      </w:r>
      <w:r>
        <w:t>https://mcp.opencaselaw.ch/entscheid/ge_gerichte_ATAS_1056_2023</w:t>
      </w:r>
    </w:p>
    <w:p>
      <w:r>
        <w:t>FR: GE_GERICHTE ATAS/1056/2023 du 22 décembre 2023</w:t>
      </w:r>
    </w:p>
    <w:p>
      <w:r>
        <w:t>IT: GE_GERICHTE ATAS/1056/2023 del 22 dicembre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Interjeté dans la forme et le délai prévus par la loi, compte tenu de la suspension des délais pour la période du 15 juillet au 15 août inclusivement (art. 38 al. 4 let. b LPGA et art. 89C let. b LPA), le recours est recevable.</w:t>
      </w:r>
    </w:p>
    <w:p>
      <w:r>
        <w:rPr>
          <w:b/>
        </w:rPr>
        <w:t>E. 1.4</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1.4.1</w:t>
      </w:r>
    </w:p>
    <w:p>
      <w:r>
        <w:t>En l’absence de disposition transitoire spéciale, ce sont les principes généraux de droit intertemporel qui prévalent, à savoir l’application du droit en vigueur lorsque les faits déterminants se sont produits (cf. ATF 144 V 210 consid.</w:t>
      </w:r>
    </w:p>
    <w:p>
      <w:r>
        <w:t>A/2656/2022 - 10/24 - 4.3.1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w:t>
      </w:r>
    </w:p>
    <w:p>
      <w:r>
        <w:rPr>
          <w:b/>
        </w:rPr>
        <w:t>E. 1.4.2</w:t>
      </w:r>
    </w:p>
    <w:p>
      <w:r>
        <w:t>En l’occurrence, la décision querellée a certes été rendue postérieurement au 1er janvier 2022. Toutefois, le litige porte sur la suppression de la rente d’invalidité, dont il n’est pas contesté que le droit est né avant cette date, de sorte que les dispositions en vigueur jusqu’au 31 décembre 2021 sont applicables. En outre, dans la mesure où le recourant avait, au 1er janvier 2022, 55 ans déjà, l’ancien droit restera applicable jusqu’à l’extinction ou la suppression de son droit à la rente.</w:t>
      </w:r>
    </w:p>
    <w:p>
      <w:r>
        <w:rPr>
          <w:b/>
        </w:rPr>
        <w:t>E. 2</w:t>
      </w:r>
    </w:p>
    <w:p>
      <w:r>
        <w:t>L'objet de la présente procédure – circonscrit par la décision litigieuse – est le droit du recourant à une rente d'invalidité entière, subsidiairement à des mesures professionnelles. Est en particulier litigieuse la question de la capacité de travail du recourant dans une activité adaptée. À titre liminaire, il sied de relever que, dans sa réponse, l'intimé a conclu à l’admission partielle du recours et à l’octroi d’une rente entière d’invalidité durant toute la période du 5 décembre 2019 au 30 juin 2022. Cette position est fondée sur le rapport médical du 7 juin 2021 du Dr B______, faisant état d'une nouvelle aggravation de l'état de santé du recourant ayant nécessité une troisième intervention chirurgicale au coude droit le 2 juin 2021. Dans la mesure où les deux parties convergent sur ce point, il convient de l'admettre. Aussi, demeure principalement litigieuse la question du droit à la rente au-delà du 30 juin 2022, en particulier, de savoir si c’est à juste titre que l’intimé a retenu que le recourant était pleinement capable de travailler dans une activité adaptée à ses limitations fonctionnelles à partir du mois d'avril 2022.</w:t>
      </w:r>
    </w:p>
    <w:p>
      <w:r>
        <w:rPr>
          <w:b/>
        </w:rPr>
        <w:t>E. 3.1</w:t>
      </w:r>
    </w:p>
    <w:p>
      <w:r>
        <w:t>L'art. 17 al. 1 LPGA dispose que si le taux d'invalidité du bénéficiaire de la rente subit une modification notable, la rente est, d'office ou sur demande, révisée</w:t>
      </w:r>
    </w:p>
    <w:p>
      <w:r>
        <w:t>A/2656/2022 - 11/24 - pour l'avenir, à savoir augmentée ou réduite en conséquence, ou encore supprimée. Selon la jurisprudence, l'art. 17 LPGA sur la révision d'une rente en cours s'applique également à la décision par laquelle une rente échelonnée dans le temps est accordée avec effet rétroactif, la date de la modification étant déterminée conformément à l'art. 88a du règlement sur l'assurance-invalidité du 17 janvier 1961 (RAI - RS 831.201 ; ATF 131 V 164 consid. 2.2 p. 165 ; 125 V 413 consid. 2d ; arrêt du Tribunal fédéral 9C_134/2015 consid. 4.1 et les références). Aux termes de l'art. 88a RAI,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29bis RAI est applicable par analogie (al. 2). Selon l'art. 29bis RAI,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w:t>
      </w:r>
    </w:p>
    <w:p>
      <w:r>
        <w:rPr>
          <w:b/>
        </w:rPr>
        <w:t>E. 3.2</w:t>
      </w:r>
    </w:p>
    <w:p>
      <w:r>
        <w:t>Tout changement important des circonstances, propre à influencer le degré d'invalidité et donc le droit à la rente, peut motiver une révision selon l'art. 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w:t>
      </w:r>
    </w:p>
    <w:p>
      <w:r>
        <w:t>A/2656/2022 - 12/24 - changement de jurisprudence n'est pas un motif de révision (ATF 129 V 200 consid. 1.2).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l'AI, le point de départ d'une modification du droit aux prestations est fixé avec précision. En cas de modification de la capacité de gain, la rente doit être supprimée ou réduite avec effet immédiat si la modification paraît durable et par conséquent stable (phr. 1 de l'art. 88a al. 1 RAI) ; on attendra en revanche trois mois au cas où le caractère évolutif de l'atteinte à la santé, notamment la possibilité d'une aggravation, ne permettrait pas un jugement immédiat (phr. 2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w:t>
      </w:r>
    </w:p>
    <w:p>
      <w:r>
        <w:rPr>
          <w:b/>
        </w:rPr>
        <w:t>E. 3.3</w:t>
      </w:r>
    </w:p>
    <w:p>
      <w:r>
        <w:t>Le fardeau de la preuve quant à cette amélioration de la capacité de travail incombe à l'office AI (arrêt du Tribunal fédéral 8C_510/2020 du 15 avril 2021 consid. 2.2, et les références).</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A/2656/2022 - 13/24 -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4.3</w:t>
      </w:r>
    </w:p>
    <w:p>
      <w:r>
        <w:t>et 4.4 ; voir également : ATF 145 V 215 consid. 5.3.3).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141 V</w:t>
      </w:r>
    </w:p>
    <w:p>
      <w:r>
        <w:t>A/2656/2022 - 14/24 - 281 consid. 4.3 et 4.4, avec la modification prévue à l’ATF 143 V 418 consid. 8.1).</w:t>
      </w:r>
    </w:p>
    <w:p>
      <w:r>
        <w:rPr>
          <w:b/>
        </w:rPr>
        <w:t>E. 5.1</w:t>
      </w:r>
    </w:p>
    <w:p>
      <w:r>
        <w:t>Les atteintes à la santé psychique peuvent, comme les atteintes physiques, entraîner une invalidité au sens de l'art. 4 al. 1 LAI en liaison avec l'art. 8 LPGA. Le fait qu’une personne souffre d’un trouble à la santé de nature psychique ne signifie cependant pas qu’elle soit totalement incapable de travailler dans tous les domaines ; son incapacité de gain doit donc être examinée concrètement, comme pour les autres troubles à la santé (ATF 143 V 409 consid. 4.2.1 ; ATF 142 V 106 consid. 4.3).</w:t>
      </w:r>
    </w:p>
    <w:p>
      <w:r>
        <w:rPr>
          <w:b/>
        </w:rPr>
        <w:t>E. 5.2</w:t>
      </w:r>
    </w:p>
    <w:p>
      <w:r>
        <w:t>La reconnaissance de l’existence d’une atteinte à la santé psychique suppose la présence d’un diagnostic émanent d’un psychiatre et s’appuyant selon les règles de l’art sur les critères d’un système de classification reconnu, tel la CIM ou le DSM-IV (ATF 141 V 281 consid. 2.1 et 2.1.1; ATF 130 V 396 consid. 6.3).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(procédure d’évaluation structurée normative de la capacité de travail) (ATF 141 V 281 consid. 7.1 et 7.2). Le Tribunal fédéral a ensuite étendu ce nouveau schéma d'évaluation aux autres affections psychiques (ATF 143 V 418 consid.</w:t>
      </w:r>
    </w:p>
    <w:p>
      <w:r>
        <w:rPr>
          <w:b/>
        </w:rPr>
        <w:t>E. 5.3</w:t>
      </w:r>
    </w:p>
    <w:p>
      <w:r>
        <w:t>Si un expert retient l’existence d’un ou plusieurs troubles médicaux de nature psychiatrique, il doit ainsi procéder à une évaluation de la capacité de travail du recourant en application de la procédure structurée normative. En principe, seul un trouble psychique grave est susceptible d’entrainer une incapacité de gain ; le cas échéant, il reviendra donc à l’expert de motiver de manière détaillée en quoi il existe des éléments qui permettent de conclure à une incapacité de travail de l’assuré en présence d’un trouble psychique de gravité moyenne ou légère (ATF 148 V49 consid. 6.2.2 ; ATF 143 V 40 consid. 4.5.2). Les indicateurs de la procédure structurée normative sont classés comme suit : I. Catégorie « degré de gravité fonctionnelle » Les indicateurs relevant de cette catégorie représentent l’instrument de base de l’analyse. Les déductions qui en sont tirées devront, dans un second temps, résister à un examen de la cohérence.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ce diagnostic (ATF 141 V 281 consid. 4.3.1.1).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(ATF 141 V 281 consid. 4.3.1.2 : arrêt du Tribunal fédéral 9C_618/2019 du 16 mars 2020 consid. 8.2.1.3). Dans ce cadre, une coopération de l'assuré en vue de son intégration sur le marché du travail malgré son trouble est un indicateur important du caractère invalidant ou non dudit trouble: un échec de son intégration malgré sa coopération optimale est un indice important du caractère invalidant de l'atteinte à la santé de l'assuré, alors</w:t>
      </w:r>
    </w:p>
    <w:p>
      <w:r>
        <w:t>A/2656/2022 - 15/24 - qu'une absence de coopération est un indice fort d'absence d'incapacité de gain (ATF 141 V 281 consid. 4.3.1.2). 3. Comorbidités Il est nécessaire de procéder à une approche globale de l’influence du trouble avec l’ensemble des pathologies concomitantes. Toute atteinte psychique à la santé différente de celle faisant l’objet de la procédure d’évaluation structurée de la capacité de travail et ayant un impact sur les ressources/capacités de l’assuré doit être prise en compte, y compris lorsqu’elle n’est pas invalidante en tant que telle (ATF 143 V 418 consid. 4.3.1.3 [réformant sur ce point l’ATF 141 V 281 consid. 4.3.1.3] ; voir également : arrêt du Tribunal fédéral 9C_756/2018 du 17 avril 2019 consid. 5.2.3).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(ATF 141 V 281 consid. 4.3.2). Étant donné que l’évaluation de la personnalité est davantage dépendante de la perception du médecin examinateur que l’analyse d’autres indicateurs, les exigences de motivation sont plus élevées (ATF 141 V 281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 il faut cependant toujours veiller ne pas indemniser par ce biais une situation sans lien avec l'impact de l'atteinte à la santé (ATF 141 V 281 consid. 4.3.3 ; arrêt du Tribunal fédéral 9C_717/2019 du 30 septembre 2020 consid. 6.2.5.3). À l’inverse,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Dans ce contexte, un comportement incohérent est un indice que les limitations évoquées seraient dues à d’autres</w:t>
      </w:r>
    </w:p>
    <w:p>
      <w:r>
        <w:t>A/2656/2022 - 16/24 - raisons qu’une atteinte à la santé (arrêt du Tribunal fédéral 9C_618/2019 du 16 mars 2020 consid. 8.3 ; arrêt du Tribunal fédéral 9C_756/2018 du 17 avril 2019 consid. 5.2.4).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La mesure dans laquelle les traitements sont mis à profit ou alors négligés par l’assuré, permet d’évaluer le poids effectif des souffrances (ATF 141 V 281 consid. 4.4.2 ; arrêt du Tribunal fédéral 9C_569/2017 du 18 juillet 2018 consid. 5.5.2). Tel n’est toutefois pas le cas lorsque le comportement est influencé par la procédure assécurologique en cours, en ce sens qu’il ne faut pas conclure à l’absence de lourdes souffrances lorsque le refus ou la mauvaise acceptation du traitement recommandé est la conséquence d’une incapacité (inévitable) de l’assuré à reconnaître sa maladie (anosognosie) (ATF 141 V 281 consid. 4.4.2). Les mêmes principes s’appliquent pour les mesures de réadaptation ; un comportement incohérent de l'assuré est là aussi un indice que la limitation fonctionnelle est due à d’autres raisons qu’à l'atteinte à la santé assurée (ATF 141 V 281 consid. 4.4.2).</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A/2656/2022 - 17/24 -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w:t>
      </w:r>
    </w:p>
    <w:p>
      <w:r>
        <w:t>A/2656/2022 - 18/24 -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ATF 126 V 353 consid. 5b et les références; ATF 125 V 193 consid. 2 et les références). Aussi n’existe-t-il pas, en</w:t>
      </w:r>
    </w:p>
    <w:p>
      <w:r>
        <w:t>A/2656/2022 - 19/24 -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arrêts du Tribunal fédéral des assurances 8C_441/2007 du 6 mai 2008 consid. 4.2 et I 321/04 du 18 juillet 2005 consid. 5).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7</w:t>
      </w:r>
    </w:p>
    <w:p>
      <w:r>
        <w:t>En l'espèce, l'intimé reconnaît une incapacité de travail totale dans toute activité depuis le 5 décembre 2018 (début du délai d'attente), mais considère qu’à compter du mois d'avril 2022, le recourant a recouvré une capacité de travail de 100% dans une activité adaptée. Il se réfère à l'avis du 19 avril 2022 du SMR, lequel se rapporte à l’appréciation du 30 septembre 2021 du Dr B______ sur le plan orthopédique et à l'expertise du 7 avril 2022 du Dr D______ sur le plan psychiatrique. Le recourant conteste cette position. Il soutient qu'il est encore totalement incapable de reprendre une quelconque activité professionnelle. Se référant à l'avis de son psychiatre traitant, il remet en cause l'expertise psychiatrique, estimant que les conclusions de l'expert, pour retenir une capacité de travail entière trois mois après l'expertise, ne sont justifiées par aucun motif. Sur le plan somatique, il fait valoir qu'il n'était pas non plus apte à reprendre une activité adaptée en raison des vives douleurs au membre supérieur droit.</w:t>
      </w:r>
    </w:p>
    <w:p>
      <w:r>
        <w:rPr>
          <w:b/>
        </w:rPr>
        <w:t>E. 7.1</w:t>
      </w:r>
    </w:p>
    <w:p>
      <w:r>
        <w:t>Il convient donc d’examiner d'abord la valeur probante du rapport d'expertise psychiatrique du 7 avril 2022. Sur le plan formel, la chambre de céans observe que ce rapport répond aux réquisits jurisprudentiels en matière de valeur probante. Il comprend en effet un résumé du dossier, une anamnèse détaillée, les indications subjectives du recourant, les observations cliniques lors de l'entretien du 30 mars 2022 et une description du traitement suivi. Sur le fond, l'expert a retenu le diagnostic incapacitant d'épisode dépressif moyen, avec syndrome somatique (F 32.11 CIM-10) et estimé que, sur le plan psychiatrique, la capacité de travail du recourant était nulle dans toute activité</w:t>
      </w:r>
    </w:p>
    <w:p>
      <w:r>
        <w:t>A/2656/2022 - 20/24 - depuis septembre 2021 et qu'avec des mesures adéquates, elle pourrait être à nouveau de 100% trois mois après la date de l'expertise. Selon l'expert, cet épisode dépressif était peut-être de degré sévère en septembre 2021 mais était actuellement passé à un degré moyen et n'était pas encore complètement achevé. L'expert a expliqué que cet épisode dépressif avait été provoqué par le fait que le recourant, après s'être inscrit au chômage, avait démarré une nouvelle activité professionnelle dans une entreprise de voiture en 2021 et qu'à seulement un mois du début de l'activité, il avait dû l'arrêter en raison d'une aggravation de ses atteintes au coude et être à nouveau opéré. Il a relevé que cet épisode semblait avoir une bonne évolution grâce à l'adhésion au suivi psychiatrique et à plusieurs changements au niveau du traitement antidépresseur, raison pour laquelle il estimait qu'il serait complétement résolu d'ici à trois mois, surtout si un processus de réentrainement progressif à l'endurance était initié sans délai. L'expert a motivé son diagnostic et exposé pourquoi il excluait, au jour de son expertise, le diagnostic d'anxiété généralisée retenu par le Dr C______. Il a reconnu la présence de limitations fonctionnelles du type, idées suicidaires passives, irritabilité, besoin de se reposer après n'importe quelle activité, difficulté à planifier ses journées et manque d'envie à faire les choses, mais également manque de résilience, hypersensibilité au stress et manque de confiance en soi. Il ressort en outre du rapport que l'expert a effectué une analyse des indicateurs jurisprudentiels pertinents. S'agissant du traitement, il a relevé que l'épisode dépressif actuel semblait avoir une bonne évolution grâce à l'adhésion au suivi psychiatrique et à plusieurs changements au niveau du traitement antidépresseur, raison pour laquelle il estimait que l'épisode serait résolu d'ici à trois mois, surtout si un processus de réentrainement progressif à l'endurance était initié. Il a précisé, à propos des mesures adéquates, qu'il s'agissait d'une adaptation du traitement par une médication adaptée et une prise en charge par l'intimé d'une réadaptation professionnelle en fonction des limitations physiques. S'agissant des ressources, l'expert a retenu que le recourant pouvait se déplacer en voiture, s'occuper de son chien et de son jardin, qu'il restait soigné de sa personne, que son réseau social demeurait suffisant, qu'il disait garder une activité dans son foyer et qu'il collaborait à l'investigation, qu'il pouvait donner une histoire personnelle cohérente respectant la chronologie et savait défendre son dossier et moduler ses stratégies. Concernant le contexte social, l'expert a indiqué que le recourant, à qui aucune mesure de réorientation professionnelle n'avait été proposée, se sentait perdu, sans savoir si suite à ses blessures somatiques, il avait des compétences pour travailler dans une activité non physique. En outre, il a relevé que le fait que le recourant soit sans emploi lui était fortement reproché par son épouse, laquelle refusait désormais un quelconque partage intime. Selon l'expert, toute cette situation créait</w:t>
      </w:r>
    </w:p>
    <w:p>
      <w:r>
        <w:t>A/2656/2022 - 21/24 - une décompensation sur le mode anxieux-dépressif et le recourant se trouvait notamment en proie à une importante irritabilité, ce qui provoquait le rejet de la part de ses enfants et avait pour conséquence une perte de sa place en tant qu'homme, citoyen, père et mari. L'expert a estimé que le recourant avait ainsi perdu le contrôle de son corps et de sa famille et n'avait plus de moyen de réagir, car ses ancrages s'étaient effondrés et il ne savait pas comment sortir de sa situation. Selon lui, à ce jour, seuls les anxiolytiques et les somnifères lui permettaient d'amoindrir le stress et le recourant avait besoin de retrouver un sens à sa vie et d'avoir des objectifs dans la perspective de se réinsérer professionnellement. Sous l'angle de la cohérence, l'expert a estimé que le recourant présentait un discours crédible. Concernant enfin les comorbidités, sur le plan psychiatrique, il a exclu la présence d'un autre trouble, exposant les raisons pour lesquelles, contrairement au psychiatre traitant, il n'avait pas retenu de trouble de l'adaptation, ni de trouble anxieux généralisé. Au vu de ce qui précède, l'expertise psychiatrique a été établie conformément à la jurisprudence applicable et il convient d'en reconnaitre la valeur probante, en tant qu'elle conclut, de manière cohérente et motivée, qu'au jour de l'expertise, la capacité de travail du recourant était nulle dans toute activité. En revanche, il sied d'émettre une réserve quant au pronostic de l'expert, selon lequel après un réentrainement et une adaptation de son traitement, le recourant pourrait recouvrir une capacité de travail entière dans une activité adaptée trois mois après son examen, soit à partir de juillet 2022. En effet, ce faisant, l'expert a procédé à une évaluation prospective de l'évolution de la capacité de travail, qu'il a, au demeurant, conditionné à la mise en œuvre de mesures adéquates. En outre, il a retenu ce pronostic en partant d'une incapacité de travail totale encore constatée lors de son examen. Or, il ressort du courriel du 14 février 2023 du Dr C______, lequel avait continué à suivre le recourant, que ce dernier continuait de présenter une symptomatologie importante et totalement incapacitante, sans évolution favorable, voire une aggravation. Certes, ce courriel est postérieur à la décision litigieuse du 24 juin 2022. Cela étant, il fait état notamment de la situation antérieure à cette date, de sorte que l'on ne saurait l'écarter. Ainsi, les indications du psychiatre traitant font clairement douter de la réalisation du pronostic de l'expert. Dans ce contexte, l'appréciation de la capacité de travail future du recourant par l'expert ne permet pas de prouver, au degré de la vraisemblance prépondérante, qu'une telle amélioration soit réellement intervenue, ni d'ailleurs que les mesures adéquates aient été entreprises, et l'intimé ne pouvait reprendre telle quelle cette appréciation, sans en vérifier la réalisation (en ce qui concerne le pronostic, voir également, en matière d'assurances complémentaires, les arrêts du Tribunal</w:t>
      </w:r>
    </w:p>
    <w:p>
      <w:r>
        <w:t>A/2656/2022 - 22/24 - fédéral 4A_544/2017 du 30 avril 2018 consid. 5.2 et 4A_66/2017 du 14 juillet 2017 consid. 5.1). À cet égard, il sied de rappeler que s'agissant de l'amélioration de la capacité de travail, le fardeau de la preuve incombe à l'office AI (cf. supra consid. 3). L'intimé aurait dès lors dû instruire davantage la question d’une éventuelle amélioration de l’état de santé du recourant après le processus de réentrainement progressif à l’endurance et l’adaptation de la thérapie pharmacologique préconisés par l’expert et, cas échéant, d’une réévaluation de la capacité de travail du recourant. À cet égard, il convient de rappeler que,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La décision entreprise était donc prématurée sur ce point.</w:t>
      </w:r>
    </w:p>
    <w:p>
      <w:r>
        <w:rPr>
          <w:b/>
        </w:rPr>
        <w:t>E. 7.2</w:t>
      </w:r>
    </w:p>
    <w:p>
      <w:r>
        <w:t>Par ailleurs, force est de constater que l'intimé n'a pas repris correctement les conclusions de l'expert. En effet, si le SMR, en se rapportant à l'expertise, a retenu dans son avis du 19 avril 2022 que le recourant pourrait bénéficier d'un entrainement à l'endurance dès avril 2022 et qu'après une période de trois mois, une reprise à 100% serait possible dans une activité adaptée (sans port de charges lourdes ni de geste répétitif au niveau des coudes et tenant compte de sa surdité à l'oreille droite et de son irritabilité), l'intimé a retenu d'emblée une capacité de travail de 100% dans une activité adaptée en avril 2022. Ainsi, quand bien même le pronostic de l'expert quant à l'évolution de la capacité de travail s'était concrétisé, il aurait fallu encore tenir compte d'un délai de trois mois supplémentaire avant de pouvoir retenir un caractère durable et stable à l'éventuelle modification de l'état de santé du recourant (cf. art. 88a al. 1 RAI), de sorte que le droit à la rente entière s'étendrait jusqu'au 30 septembre 2022. Dès lors où elle supprime le droit à la rente du recourant au 30 juin 2022, la décision litigieuse n'est pas conforme au droit. Pour ces raisons également, il convient d'annuler la décision litigieuse. La chambre de céans relèvera que si les dernières pièces produites par le recourant en cours de procédure font état d'éléments médicaux postérieurs à la décision litigieuse, le SMR a d'ores et déjà reconnu, sur la base de ceux-ci, une aggravation de l'état de santé du recourant, tant sur le plan somatique que psychiatrique, ce qui laisse d'ailleurs douter d'une réelle amélioration stable et notable de la capacité de gain du recourant.</w:t>
      </w:r>
    </w:p>
    <w:p>
      <w:r>
        <w:t>A/2656/2022 - 23/24 -</w:t>
      </w:r>
    </w:p>
    <w:p>
      <w:r>
        <w:rPr>
          <w:b/>
        </w:rPr>
        <w:t>E. 8</w:t>
      </w:r>
    </w:p>
    <w:p>
      <w:r>
        <w:t>Dans la mesure de ce qui précède, le recours sera admis, la décision du 24 juin 2022 sera annulée et il sera dit que le recourant a droit à une rente entière depuis le 1er décembre 2019. Il incombera à l’intimé d’examiner, au vu du rapport d’expertise, si le changement de thérapie pharmacologique et le processus de reconditionnement professionnel préconisés par l’expert sont exigibles du recourant, au sens de l’art. 21 al. 4 LPGA et, cas échéant, de procéder selon cette disposition. Le recourant ayant gain de cause par l’intermédiaire d’un mandataire professionnel, une indemnité de CHF 2'500.-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A/2656/2022 - 24/24 -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