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ATAS/1056/2011 vom 9. November 2011</w:t>
      </w:r>
    </w:p>
    <w:p>
      <w:r>
        <w:t>GE Cour de justice, 2011-11-09, FR</w:t>
      </w:r>
    </w:p>
    <w:p>
      <w:r>
        <w:rPr>
          <w:b/>
        </w:rPr>
        <w:t xml:space="preserve">Quelle: </w:t>
      </w:r>
      <w:r>
        <w:t>https://mcp.opencaselaw.ch/entscheid/ge_gerichte_ATAS_1056_2011</w:t>
      </w:r>
    </w:p>
    <w:p>
      <w:r>
        <w:t>FR: GE_GERICHTE ATAS/1056/2011 du 9 novembre 2011</w:t>
      </w:r>
    </w:p>
    <w:p>
      <w:r>
        <w:t>IT: GE_GERICHTE ATAS/1056/2011 del 9 novembre 2011</w:t>
      </w:r>
    </w:p>
    <w:p>
      <w:pPr>
        <w:pStyle w:val="Heading2"/>
      </w:pPr>
      <w:r>
        <w:t>Erwägungen</w:t>
      </w:r>
    </w:p>
    <w:p>
      <w:r>
        <w:rPr>
          <w:b/>
        </w:rPr>
        <w:t>E. 26</w:t>
      </w:r>
    </w:p>
    <w:p>
      <w:r>
        <w:t>Sur ce, la cause a été gardée à juger. 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Interjeté dans les délai et forme prescrits par la loi, le recours est recevable (art. 56 ss LPGA).</w:t>
      </w:r>
    </w:p>
    <w:p>
      <w:r>
        <w:t>A/2857/2010 - 9/14 - 3. Est litigieuse en l'occurrence le degré d'invalidité du recourant à compter du 17 septembre 2007. 4. Selon l'art. 17 al. 1 LPGA, si le taux d'invalidité du bénéficiaire de la rente subit une modification notable, la rente est, d'office ou sur demande, révisée pour l'avenir, à savoir augmentée ou réduite en conséquence, ou encore supprimée.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Il en va de même lorsqu'une rente ou une allocation pour impotent a été refusée en raison d'un degré d'invalidité insuffisant ou de l'absence d'impotence et que l'assuré dépose une nouvelle demande (art. 87 al. 3 RAI). L'entrée en vigueur, le 1er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D'après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5. 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L'art. 7 al. 2 LPGA n'a cependant pas modifié la notion d'incapacité de gain, mais correspond à l'inscription dans la loi de</w:t>
      </w:r>
    </w:p>
    <w:p>
      <w:r>
        <w:t>A/2857/2010 - 10/14 - la jurisprudence dégagée jusqu'alors sur la notion d'invalidité (ATF 135 V 215 consid. 7 p. 229 ss.). Enfin, selon la jurisprudence, la notion d'invalidité, au sens du droit des assurances sociales, est une notion économique et non médicale; ce sont les conséquences économiques objectives de l'incapacité fonctionnelle qu'il importe d'évaluer (ATF 110 V 275 consid. 4a, 105 V 207 consid. 2). 6. a) 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 moins 40 % en moyenne durant une année sans interruption notable; c. au terme de cette année, il est invalide à 40 % au moins . b) En vertu de l'art. 28 al. 1 aLAI, dans sa teneur valable jusqu'au 31 décembre 2003, l'assuré a droit à une rente entière s'il est invalide à 66 2/3% au moins, à une demi-rente s'il est invalide à 50% au moins ou à un quart de rente s'il est invalide à 40% au moins. Selon art. 28 al. 1er LAI dans sa teneur en vigueur du 1er janvier 2004 au 31 décembre 2007 et l’art. 28 al. 2 LAI dans sa teneur dès le 1er janvier 2008 , l’assuré a droit à une rente entière s’il est invalide à 70% au moins, à trois quarts de rente s’il est invalide à 60% au moins, à une demi-rente s’il est invalide à 50% au moins ou à un quart de rente s’il est invalide à 40% au moins. 7. 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w:t>
      </w:r>
    </w:p>
    <w:p>
      <w:r>
        <w:t>A/2857/2010 - 11/14 - valeur probante n’est ni l’origine du moyen de preuve ni sa désignation comme rapport ou comme expertise, mais bel et bien son contenu (ATF 125 V 351 consid. 3a, 122 V 157 consid. 1c et les références ; ATF non publié du 23 juin 2008, 9C_773/2007, consid. 2.1).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t>A/2857/2010 - 12/14 - 8. En l'occurrence, une aggravation de l'état de santé a déjà été admise par le Dr B__________. En effet, celui-ci a diagnostiqué un état dépressif majeur de gravité légère à moyenne, alors qu'il n'avait pas retenu ce diagnostic dans son expertise du 17 juillet 2005. Selon ce médecin, l'aggravation est survenue en 2007 ou 2008, sans toutefois donner des explications concernant le moment de la survenance de l'aggravation, laquelle ne résulte pas non plus de l'anamnèse figurant dans son expertise. Par ailleurs, selon le Dr B__________, la capacité de travail du recourant est diminuée de 20 à 30 %. Il convient toutefois de relever que le recourant a indiqué avoir été très angoissé lors de cette expertise et avoir répondu par "oui" à toutes les questions posées par l'expert, de peur d'être hospitalisé. Cela est confirmé par le rapport du Dr D__________ du 19 janvier 2007, ainsi que par de l'expertise judiciaire. En effet, l'épouse du recourant a indiqué au Dr G__________ que son mari avait peur d'être enfermé en hôpital psychiatrique s'il disait au Dr B__________ qu'il allait trop mal. Par conséquent, une pleine valeur probante ne peut être accordée à cette expertise, notamment en ce qui concerne l'évaluation de la capacité de travail. L'aggravation de l'état de santé a été confirmée par l'expert judiciaire, lequel a posé le diagnostic d'épisode dépressif léger avec syndrome somatique et de personnalité fruste (évitante). Il est à relever que cette aggravation a déjà été admise par l'intimé dans sa décision sur opposition du 17 septembre 2007. Toutefois, sur la base d'un avis médical du Dr I_________, il a considéré que cette aggravation n'avait pas valeur de maladie, dès lors qu'elle était réactionnelle à la décision de suppression de la rente. Implicitement, l'intimé a donc estimé que cette aggravation n'avait pas un caractère durable, s'agissant d'une réaction à un événement extérieur adverse, et que le recourant ne manquerait pas de surmonter cet événement pour retrouver l'état psychique qu'il présentait avant la suppression de la rente. Aujourd'hui, l'intimé se prévaut de ce que cette aggravation est survenue déjà avant sa décision du 17 septembre 2007, de sorte qu'aucune aggravation ne peut être retenue depuis cette date. Il convient toutefois de considérer que le fait nouveau de la modification de l'état de santé consiste en l'occurrence dans sa durée, laquelle pouvait être considérée comme insuffisante en septembre 2007. Par conséquent, même si l'état de santé du recourant s'est aggravé à partir de son hospitalisation en octobre 2006, une aggravation durable ne peut être constatée qu'après au moins d'une année. C'est par ailleurs également l'avis du Dr H_________ du SMR qui a relevé que le Dr I_________ avait conclu le 30 janvier 2007 à un caractère non durable de l'aggravation psychique. Aujourd'hui, le SMR admet que cette aggravation a un caractère durable, en l'absence d'une amélioration ultérieure. Le Dr H_________ est</w:t>
      </w:r>
    </w:p>
    <w:p>
      <w:r>
        <w:t>A/2857/2010 - 13/14 - également d'accord avec l'expert judiciaire, en ce que celui-ci considère que la capacité de travail est nulle depuis octobre 2006. Dans ces conditions, il sied de reconnaître qu'une aggravation durable de l'état psychique s'est produite après la décision du 17 septembre 2007 et que celle-ci a provoqué une incapacité totale de travailler. Cela étant, le recourant peut prétendre à une rente d'invalidité entière. 9. Se pose encore la question de savoir à partir de quelle date le droit à une rente est ouvert. a) Selon l'art. 29 al. 1 LAI, en vigueur depuis le 1er janvier 2008, le droit à la rente prend naissance au plus tôt à l'échéance d'une période de six mois à compter de la date à laquelle l'assuré a fait valoir son droit aux prestations conformément à l'art.</w:t>
      </w:r>
    </w:p>
    <w:p>
      <w:r>
        <w:rPr>
          <w:b/>
        </w:rPr>
        <w:t>E. 29</w:t>
      </w:r>
    </w:p>
    <w:p>
      <w:r>
        <w:t>al. 1 LPGA, mais pas avant le mois qui suit le 18e anniversaire de l'assuré. Cette réglementation n'est toutefois pas applicable dans les cas où, comme en l'espèce, le délai d'attente a commencé à courir avant le 1er janvier 2008 (arrêt non publié du Tribunal fédéral 8C_233/2010 du 7 janvier 2011, consid. 4, résumé in RSAS 2011 p. 298, arrêt non publié du Tribunal fédéral 8C_262/2010 du 12 janvier 2011, consid. 3, résumé in RSAS 2011 p. 297). Selon l'art. 29 al. 1 let b aLAI, le droit à la rente naît à la date à laquelle l'assuré a présenté, en moyenne, une incapacité de travail de 40% au moins pendant une année sans interruption notable. Toutefois, si la rente a été supprimée du fait de l'abaissement du degré d'invalidité et que l'assuré, dans les trois ans qui suivent, présente à nouveau un degré d'invalidité ouvrant le droit à la rente en raison d'une incapacité de travail du même origine, on déduira de la période d'attente imposée par cette disposition celle qui a précédée le premier octroi, aux termes de l'art. 29bis du règlement du 17 janvier 1961 sur l’assurance-invalidité, du 17 janvier 1961 (RAI ; RS 831.201). b) La rente a été supprimée en l'occurrence dès le 1er janvier 2006, par décision du 24 novembre 2005, à laquelle l'effet suspensif a été retiré. La nouvelle demande a été déposée en mars 2009, soit plus de trois ans après la suppression de la rente, de sorte que l'art. 29bis RAI n'est pas applicable. Par conséquent, il convient d'admettre que le droit à la rente est né en octobre 2007, l'état de santé du recourant s'étant aggravé en octobre 2006. 10. Au vu de ce qui précède, le recours sera admis, la décision litigieuse annulée et le recourant mis au bénéfice d'une rente d'invalidité entière à compter du 1er octobre 2007. 11. Dans la mesure où l'intimé succombe, l'émolument de justice de 200 fr. est mis à sa charge.</w:t>
      </w:r>
    </w:p>
    <w:p>
      <w:r>
        <w:t>A/2857/2010 - 14/14 -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