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ATAS/1055/2018 vom 14. November 2018</w:t>
      </w:r>
    </w:p>
    <w:p>
      <w:r>
        <w:t>GE Cour de justice, 2018-11-14, FR</w:t>
      </w:r>
    </w:p>
    <w:p>
      <w:r>
        <w:rPr>
          <w:b/>
        </w:rPr>
        <w:t xml:space="preserve">Quelle: </w:t>
      </w:r>
      <w:r>
        <w:t>https://mcp.opencaselaw.ch/entscheid/ge_gerichte_ATAS_1055_2018</w:t>
      </w:r>
    </w:p>
    <w:p>
      <w:r>
        <w:t>FR: GE_GERICHTE ATAS/1055/2018 du 14 novembre 2018</w:t>
      </w:r>
    </w:p>
    <w:p>
      <w:r>
        <w:t>IT: GE_GERICHTE ATAS/1055/2018 del 14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L’objet du litige porte sur le bien-fondé du versement du rétroactif des rentes des enfants du recourant pour la période de mars 2012 à novembre 2017 à l'assurée.</w:t>
      </w:r>
    </w:p>
    <w:p>
      <w:r>
        <w:rPr>
          <w:b/>
        </w:rPr>
        <w:t>E. 4</w:t>
      </w:r>
    </w:p>
    <w:p>
      <w:r>
        <w:t>Préalablement, il convient de déterminer si le recourant était légitimé à recourir contre la décision entreprise. a) Le point de savoir si une partie a la qualité pour agir (ou légitimation active) ou la qualité pour défendre (légitimation passive) – question qui est examinée d'office (ATF 110 V 347 consid. 1;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Quiconque est touché par la décision ou la décision sur opposition et a un intérêt digne d'être protégé à ce qu'elle soit annulée ou modifiée a qualité pour recourir (art. 59 LPGA). La jurisprudence considère comme intérêt digne de protection, au sens de cette disposition, tout intérêt pratique ou juridique à demander la modification ou</w:t>
      </w:r>
    </w:p>
    <w:p>
      <w:r>
        <w:t>A/1236/2018 - 4/7 -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en particulier, la personne doit se trouver dans un rapport suffisamment étroit avec la décision, tel n’étant pas le cas de celui qui n’est atteint que de manière indirecte ou médiate (ATF 125 V 342 consid. 4a). c) 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d) Le but assigné à la prévoyance (premier et deuxième piliers) est de réparer, principalement sous la forme du versement d'une rente, les conséquences économiques et financières résultant de la réalisation du risque assuré (vieillesse,</w:t>
      </w:r>
    </w:p>
    <w:p>
      <w:r>
        <w:t>A/1236/2018 - 5/7 -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et les références).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Les rentes complémentaires devaient s'ajouter à la rente principale et constituer un revenu de substitution pour l'assuré invalide en vue de lui permettre de subvenir à l'entretien de sa famille (arrêt du Tribunal fédéral 9C_915/2015 du 2 juin 2016 consid. 6.1 et les références).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Dans un arrêt du 11 juillet 2012 (ATF 138 V 292 consid. 4.2.2) portant sur qualité pour recourir de l'enfant d'une personne au bénéfice de prestations complémentaires donnant droit à une rente pour enfant de l'assurance-invalidité, le Tribunal fédéral a laissé la question ouverte de savoir si l'art. 71ter al. 3 RAVS est également applicable en matière de prestations complémentaires, car le droit de l'enfant majeur au versement direct de la prestation complémentaire calculée séparément ne donne pas encore compétence pour recourir quant au principe et à l'étendue du droit à la prestation.</w:t>
      </w:r>
    </w:p>
    <w:p>
      <w:r>
        <w:t>A/1236/2018 - 6/7 - Dans le contexte d’une procédure en matière de prévoyance professionnelle, une mère de deux enfants au bénéfice d’une rente d’invalidité versée par la Caisse de pension de l’État de Neuchâtel a recouru, aux côtés de ses enfants majeurs, auprès du Tribunal fédéral, afin de contester la date à partir de laquelle les rentes complémentaires pour enfant devaient lui être versées. Après avoir déclaré irrecevable le recours du second enfant de la recourante dans la mesure où il n’avait pas pris part à la procédure cantonale, le Tribunal fédéral a considéré que le recours de l’aîné devait être rejeté dans la mesure où le droit à la rente appartenait à sa mère (arrêt du Tribunal fédéral 9C_339/2009 consid. 1.2 du 1er février 2010).</w:t>
      </w:r>
    </w:p>
    <w:p>
      <w:r>
        <w:rPr>
          <w:b/>
        </w:rPr>
        <w:t>E. 5</w:t>
      </w:r>
    </w:p>
    <w:p>
      <w:r>
        <w:t>En l’espèce, le recourant ne dispose pas de la qualité pour recourir contre la décision rendue par l'intimé le 20 mars 2018, dans la mesure où il n'est pas titulaire du droit à la rente complémentaire pour enfant, quand bien même il a obtenu le droit de recevoir les rentes de ses enfants dès le 1er février 2018. Seule l'assurée est touchée directement par la décision entreprise qui ne touche le recourant qu'indirectement, ce qui ne suffit pas à lui reconnaître la qualité pour recourir.</w:t>
      </w:r>
    </w:p>
    <w:p>
      <w:r>
        <w:rPr>
          <w:b/>
        </w:rPr>
        <w:t>E. 6</w:t>
      </w:r>
    </w:p>
    <w:p>
      <w:r>
        <w:t>Au vu de ce qui précède, le recours sera rejeté.</w:t>
      </w:r>
    </w:p>
    <w:p>
      <w:r>
        <w:rPr>
          <w:b/>
        </w:rPr>
        <w:t>E. 7</w:t>
      </w:r>
    </w:p>
    <w:p>
      <w:r>
        <w:t>Un émolument de CHF 200.- sera mis à la charge du recourant (art. 69 al. 1bis LAI).</w:t>
      </w:r>
    </w:p>
    <w:p>
      <w:r>
        <w:t>A/1236/2018 - 7/7 -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