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ATAS/1055/2011 vom 14. November 2011</w:t>
      </w:r>
    </w:p>
    <w:p>
      <w:r>
        <w:t>GE Cour de justice, 2011-11-14, FR</w:t>
      </w:r>
    </w:p>
    <w:p>
      <w:r>
        <w:rPr>
          <w:b/>
        </w:rPr>
        <w:t xml:space="preserve">Quelle: </w:t>
      </w:r>
      <w:r>
        <w:t>https://mcp.opencaselaw.ch/entscheid/ge_gerichte_ATAS_1055_2011</w:t>
      </w:r>
    </w:p>
    <w:p>
      <w:r>
        <w:t>FR: GE_GERICHTE ATAS/1055/2011 du 14 novembre 2011</w:t>
      </w:r>
    </w:p>
    <w:p>
      <w:r>
        <w:t>IT: GE_GERICHTE ATAS/1055/2011 del 14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l'obet du litige porte sur une nouvelle demande de prestations du 22 novembre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une décision en date du 8 juin 2011, contre laquelle l'assuré a interjeté directement recours devant la Cour de céans.</w:t>
      </w:r>
    </w:p>
    <w:p>
      <w:r>
        <w:t>A/2120/2011 - 11/17 -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w:t>
      </w:r>
    </w:p>
    <w:p>
      <w:r>
        <w:t>A/2120/2011 - 12/17 - ont connaissance de faits ou ordonnent des mesures qui peuvent entraîner une modification importante du taux d’invalidité, du degré d’impotence ou du besoin de soins découlant de l’invalidité (al. 2). Lorsqu’une demande de révision est déposée, celle-ci doit établir de façon plausible que l’invalidité, l’impotence ou l’étendue du besoin de soins découlant de l’invalidité de l’assuré s’est modifiée de manière à influencer ses droits (al. 3). Lorsque la rente ou l’allocation pour impotent a été refusée parce que le degré d’invalidité était insuffisant ou parce qu’il n’y avait pas d’impotence, la nouvelle demande ne peut être examinée que si les conditions prévues à l’al. 3 sont remplies (al. 4).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Selon l'art. 88bis RAI, l’augmentation de la rente ou de l’allocation pour impotent prend effet, au plus tôt: a. si la révision est demandée par l’assuré, dès le mois où cette demande est présentée; b. si la révision a lieu d’office, dès le mois pour lequel on l’avait prévue; c. s’il est constaté que la décision de l’office AI désavantageant l’assuré était manifestement erronée, dès le mois où ce vice a été découvert (al. 1). La diminution ou la suppression de la rente ou de l’allocation pour impotent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 (al. 2). b)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w:t>
      </w:r>
    </w:p>
    <w:p>
      <w:r>
        <w:t>A/2120/2011 - 13/17 -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(ATF du 22 octobre 2009 9C_67/2009).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d) Il ne s'agit pas, dans le contexte d'une nouvelle demande, d'un renversement du fardeau de la preuve, puisqu'il suffit que l'assuré rende plausible, par exemple, l'aggravation de son état de santé. La notion de caractère plausible ne renvoie pas à celle de la vraisemblance prépondérante; les exigences de preuve sont, au contraire, sensiblement réduites. En effet, les indices d'une modification suffisent (lors même que la possibilité subsiste qu'une instruction plus poussée ne permettra pas d'établir), mais doivent cependant être allégués par l'assuré afin d'éviter que l'administration soit tenue de se saisir à nouveau de demandes réitérées ayant le même objet et qui ne sont pas plus étayées (voir Damien VALLAT, La nouvelle demande de prestations AI et les autres voies permettant la modification de décisions en force, RSAS 2003 p. 394 et 396; ATF du 24 novembre 2009 9C 643/2009; ATF du 4 octobre 2005 I 454/2004).</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A/2120/2011 - 14/17 -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A/2120/2011 - 15/17 -</w:t>
      </w:r>
    </w:p>
    <w:p>
      <w:r>
        <w:rPr>
          <w:b/>
        </w:rPr>
        <w:t>E. 7</w:t>
      </w:r>
    </w:p>
    <w:p>
      <w:r>
        <w:t>a) En l'espèce, postérieurement à l'arrêt du Tribunal cantonal des assurances sociales du 20 décembre 2004 refusant toute rente au recourant, l'intimé a, une nouvelle fois, examiné le droit à la rente de ce dernier et l'a nié par décision du 20 octobre 2008 entrée en force. Il convient en conséquence, dans le cadre de l'examen du bien-fondé du refus d'entrer en matière de l'intimé du 8 juin 2011, de déterminer si le recourant a, de façon plausible, établi que son état de santé s'était modifié depuis le 20 octobre 2008. A cet égard, le recourant a transmis deux avis de la Dresse A__________ des 2 février et 6 juillet 2011 ainsi que des radiographies du 8 février 2011 et un rapport du Dr J_________ du 23 mars 2011. b) Le 2 février 2011, la Dresse A__________ a attesté de troubles séquellaires au niveau de la cheville et du pied droits, de rachialgies importantes et d'un état anxieux sévère de sorte que le recourant était totalement incapable de travailler. Le 6 juillet 2011, elle a précisé que l'assuré souffrait des pathologies qu'elle avait attestées dans son certificat du 17 octobre 2008, qu'il présentait une aggravation progressive depuis 2008 environ au niveau osseux et musculaire (douleurs à la jambe droite, perte de la masse musculaire du membre inférieur droit et apparition d'une "ostéogénie" au niveau osseux) ainsi qu'au niveau psychique et que le recourant utilisait des cannes. L'état de santé se péjorait depuis 1998. Force est de constater que la situation décrite par la Dresse A__________ est superposable à celle qui ressort de son certificat médical du 17 octobre 2008, antérieur à la dernière décision de refus de prestations du 20 octobre 2008. La Dresse A__________ relevait en effet à cette occasion que le recourant présentait de façon continue des douleurs au niveau de la cheville droite, du pied droit et de la colonne dorso-lombaire ainsi qu'un état anxieux post-traumatique très important, entraînant une incapacité totale de travail. On relève encore que l'examen du SMR du 11 octobre 2007, tenait compte des douleurs chroniques du membre inférieur droit, des lombalgies chroniques sur troubles statiques et dégénératifs ainsi que de la nécessité pour le recourant d'utiliser une canne. Quant aux radiographies de la cheville droite du 8 février 2011, elles n'ont pas apporté de diagnostic nouveau, comme l'a relevé le SMR dans son rapport du 3 mai 2011. Le recourant n'a d'ailleurs fourni aucun rapport médical attestant, sur la base de ces clichés, d'une aggravation de son état de santé. En particulier, la Dresse A__________ mentionne une ostéopénie soit une fragilisation du tissu osseux due à une diminution de sa densité (www.vulgaris- medical.com/encyclopedie/osteopenie), laquelle est en effet attestée par le rapport du Dr J_________ du 23 mars 2011. La Dresse A__________ n'indique cependant pas si cette ostéopénie est survenue postérieurement au 20 octobre 2008 et en particulier qu'elle entraînerait des limitations fonctionnelles qui n'auraient pas été prises en compte antérieurement. Enfin, s'agissant de l'état anxieux évoqué par la Dresse A__________, il incombait au recourant de produire un avis psychiatrique à</w:t>
      </w:r>
    </w:p>
    <w:p>
      <w:r>
        <w:t>A/2120/2011 - 16/17 - l'appui de ses conclusions dès lors que le principe inquisitoire ne s'applique pas à la procédure prévue à l'art. 87 al. 3 RAI (ATF 130 V 68). En toute hypothèse, on constate que cet état anxieux important était déjà attesté par la Dresse A__________ dans ses avis des 9 septembre 2005, 20 février 2006 et 17 octobre 2008, soit antérieurement à la décision de l'intimé du 20 octobre 2008.</w:t>
      </w:r>
    </w:p>
    <w:p>
      <w:r>
        <w:rPr>
          <w:b/>
        </w:rPr>
        <w:t>E. 8</w:t>
      </w:r>
    </w:p>
    <w:p>
      <w:r>
        <w:t>a) Au vu de ce qui précède, on doit admettre que le recourant n'a, en l'état, pas rendu plausible que son invalidité s'était modifiée de manière à influencer ses droits, de sorte que c'est à juste titre que l'intimé a refusé d'entrer en matière sur la nouvelle demande de prestations. Le recours est ainsi mal fondé et il doit être rejeté. b) La loi fédérale du 16 décembre 2005 modifiant la loi fédérale sur l'assurance- invalidité est entrée en vigueur le 1er juillet 2006 (RO 2006 2003), apporte des modifications qui concernent notamment la procédure conduite devant la Chambre des assurances sociales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rPr>
          <w:b/>
        </w:rPr>
        <w:t>E. 9</w:t>
      </w:r>
    </w:p>
    <w:p>
      <w:r>
        <w:t>Etant donné que le recourant est au bénéfice de l'assistance juridique, il sera toutefois renoncé à la perception d'un émolument (art. 12 du règlement sur les frais, émoluments et indemnités en procédure administrative, du 30 juillet 1986).</w:t>
      </w:r>
    </w:p>
    <w:p>
      <w:r>
        <w:t>A/2120/2011 - 17/17 -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