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ATAS/1054/2019 vom 13. November 2019</w:t>
      </w:r>
    </w:p>
    <w:p>
      <w:r>
        <w:t>GE Cour de justice, 2019-11-13, FR</w:t>
      </w:r>
    </w:p>
    <w:p>
      <w:r>
        <w:rPr>
          <w:b/>
        </w:rPr>
        <w:t xml:space="preserve">Quelle: </w:t>
      </w:r>
      <w:r>
        <w:t>https://mcp.opencaselaw.ch/entscheid/ge_gerichte_ATAS_1054_2019</w:t>
      </w:r>
    </w:p>
    <w:p>
      <w:r>
        <w:t>FR: GE_GERICHTE ATAS/1054/2019 du 13 novembre 2019</w:t>
      </w:r>
    </w:p>
    <w:p>
      <w:r>
        <w:t>IT: GE_GERICHTE ATAS/1054/2019 del 13 novembre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56 al. 1 et 60 al. 1 LPGA; art. 9 de la loi cantonale sur les prestations fédérales complémentaires à l’assurance-vieillesse et survivants et à l’assurance-invalidité, du 14 octobre 1965 [LPFC; RS/GE J 4 20]; art. 43 LPCC ; art. 61 let. b LPGA).</w:t>
      </w:r>
    </w:p>
    <w:p>
      <w:r>
        <w:rPr>
          <w:b/>
        </w:rPr>
        <w:t>E. 3</w:t>
      </w:r>
    </w:p>
    <w:p>
      <w:r>
        <w:t>Le litige porte sur le montant demandé en restitution par l'intimé à la recourante et, en particulier, sur la valeur vénale de l’appartement de Sofia retenue dans les nouveaux calculs.</w:t>
      </w:r>
    </w:p>
    <w:p>
      <w:r>
        <w:rPr>
          <w:b/>
        </w:rPr>
        <w:t>E. 4</w:t>
      </w:r>
    </w:p>
    <w:p>
      <w:r>
        <w:t>a. Sur le plan fédéral, les personnes qui ont leur domicile et leur résidence habituelle en Suisse et qui remplissent les conditions personnelles prévues aux art. 4, 6 et 8 LPC ont droit à des prestations complémentaires.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le produit de la fortune mobilière et immobilière (let. b); un quinzième de la fortune nette, dans la mesure où elle dépasse CHF 37’500.- pour les personnes seules; si le bénéficiaire de prestations complémentaires ou une autre personne comprise dans le calcul de ces prestations est propriétaire d'un immeuble qui sert d'habitation à l'une de ces personnes au moins, seule la valeur de l'immeuble supérieure à</w:t>
      </w:r>
    </w:p>
    <w:p>
      <w:r>
        <w:t>A/437/2019 - 8/14 - CHF 112'500.- entre en considération au titre de la fortune (let. c); les ressources et parts de fortune dont un ayant droit s'est dessaisi (let. g).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La notion englobe le produit transférable en Suisse d’une fortune qui se trouve à l’étranger (ch. 3431.01 DPC). En vertu de l'art. 17 de l’ordonnance sur les prestations complémentaires à l'assurance-vieillesse, survivants et invalidité, du 15 janvier 1971 (OPC-AVS/AI – RS 831.301),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DPC). Dans ses commentaires concernant la modification de l'OPC-AVS/AI entrée en vigueur le 1er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Si la valeur actuelle (valeur du marché) d’un immeuble à l’étranger n’est pas connue, on peut se fonder sur une estimation établie à l’étranger, s’il n’est pas raisonnablement possible de procéder à une autre estimation (arrêt du Tribunal fédéral 9C_540/2009 du 17 septembre 2009; ATAS/40/2018; ch. 3444.03 DPC). Dans un arrêt du 29 mars 2018 (ATAS/319/2018), la chambre de céans a jugé que le SPC ne pouvait se contenter d'une estimation de la valeur du bien immobilier effectuée le 15 septembre 2016, soit près de sept ans plus tard, et qu'il aurait dû requérir une estimation de la valeur du marché du bien immobilier en 2009 ainsi que la variation de cette valeur pour les années suivantes. La recourante était invitée, comme le lui avait demandé l’intimé par courrier du 5 août 2016, à lui</w:t>
      </w:r>
    </w:p>
    <w:p>
      <w:r>
        <w:t>A/437/2019 - 9/14 - transmettre l’estimation officielle de la valeur vénale du bien immobilier, au 31 décembre 2012, 31 décembre 2013, 31 décembre 2014, et 31 décembre 2015, conformément à son obligation de collaborer (art. 28 al. 2 LPGA). b. 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quelques adaptations, non pertinentes pour le cas d’espèce. c. Pour déterminer le taux de conversion applicable pour le calcul de la fortune immobilière et de la valeur locative y relative, il y a lieu d’appliquer les DPC. Depuis le 1er janvier 2013, les DPC prévoient que pour les rentes et pensions versées en devises d’États parties à l’accord sur la libre circulation des personnes CH-UE ou à la Convention AELE, le cours de conversion applicable est celui du jour publié par la Banque centrale européenne. Est déterminant le premier cours du jour disponible du mois qui précède immédiatement le début du droit à la prestation (ch. 3452.01 des DPC). Bien que ces directives concernent les rentes, elles sont applicables mutatis mutandis aux autres éléments libellés en monnaie étrangère composant les revenus déterminants tels que la fortune immobilière (ATAS/131/2017 du 21 février 2017 consid. 9d; ATAS/1290/2013 du 20 décembre 2013 consid. 10). La période de référence demeure l’année civile, de sorte que le taux retenu reste le même pour l’année considérée, sauf modification sensible de ce taux en cours d’année (ATAS/34/2017 du 23 janvier 2017).</w:t>
      </w:r>
    </w:p>
    <w:p>
      <w:r>
        <w:rPr>
          <w:b/>
        </w:rPr>
        <w:t>E. 5</w:t>
      </w:r>
    </w:p>
    <w:p>
      <w:r>
        <w:t>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L'administration est tenue de procéder à une révision de sa décision, lorsque sont découverts des faits nouveaux ou de nouveaux moyens de preuve susceptibles de conduire à une appréciation juridique différente (ATF 122 V 19 consid. 3a; ATF 122 V 134 consid. 2c; ATF 122 V 169 V consid. 4a; ATF 121 V 1 consid. 6).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t>A/437/2019 - 10/14 -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d.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w:t>
      </w:r>
    </w:p>
    <w:p>
      <w:r>
        <w:t>A/437/2019 - 11/14 - par l’art. 25 al. 2 LPGA est applicable dans le cas particulier. Pour que le délai de péremption plus long prévu par le droit pénal s’applique, il n’est pas nécessaire que l’auteur de l’infraction ait été condamné (ATF 140 IV 206 consid. 6.2; arrêt du Tribunal fédéral 8C_592/2007 du 20 août 2008 consid. 5.3).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phr. 1 LPGA (ATF 138 V 74 consid. 7; arrêt du Tribunal fédéral 8C_592/2007 du 10 août 2008 consid. 5.3). L’art. 31 al. 1 let. d LPC – également applicable en matière de prestations complémentaires cantonales conformément à l’art. 1A LPCC – prévoit que celui qui manque à son obligation de communiquer au sens de l’art. 31 al. 1 LPGA, est puni d’une peine pécuniaire n’excédant pas 180 jours-amende. Selon l’art. 31 al. 1 LPGA, l’ayant droit, ses proches ou les tiers auxquels une prestation est versée sont tenus de communiquer à l’assureur ou, selon le cas, à l’organe compétent, toute modification importante des circonstances déterminantes pour l’octroi d’une prestation. Selon l’art. 30 OPC-AVS/AI, les services chargés de fixer et de verser les prestations complémentaires doivent réexaminer périodiquement, mais tous les quatre ans au moins, les conditions économiques de leurs bénéficiaires (cf. également l’art. 13 LPCC). Quant à l’art. 24 OPC-AVS/AI,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Il y a dol éventuel lorsque l'auteur envisage le résultat dommageable, mais agit néanmoins,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w:t>
      </w:r>
    </w:p>
    <w:p>
      <w:r>
        <w:t>A/437/2019 - 12/14 - celles-ci sont grandes, plus sera fondée la conclusion que l'auteur, malgré d'éventuelles dénégations, avait accepté l'éventualité de la réalisation du résultat dommageable (ATF 133 IV 222 consid. 5.3). Peuvent également constituer des éléments extérieurs révélateurs les mobiles de l'auteur et la façon dont il a agi (ATF 138 V 74 consid. 8.4.1; ATF 135 IV 12 consid. 2.3.3).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 (ATF 130 IV 83 consid. 1.2.1). Le Tribunal fédéral a estimé qu'un bénéficiaire, en omettant d'annoncer l'existence d'un héritage perçu par son épouse, avait commis, par dol éventuel, l'infraction réprimée à l'art. 31 al. 1 LPC. On ne pouvait retenir l'argument selon lequel les documents remis au bénéficiaire ne semblaient viser que sa propre situation et non celle de son épouse (ATF 140 IV 206).</w:t>
      </w:r>
    </w:p>
    <w:p>
      <w:r>
        <w:rPr>
          <w:b/>
        </w:rPr>
        <w:t>E. 6</w:t>
      </w:r>
    </w:p>
    <w:p>
      <w:r>
        <w:t>a. En l'espèce, la décision en restitution est motivée par le fait que la recourante est propriétaire d’un bien immobilier depuis 2003, ce qui n’avait pas été pris en compte par l’intimé, qui ignorait cet élément de fortune. Il s'agit là d’un fait nouveau justifiant une révision des décisions prises sur une base erronée. Les conditions pour exiger la restitution des prestations indûment perçues sont ainsi remplies. b. L’intimé a pris en compte pour ses nouveaux calculs une estimation de la valeur vénale de l’appartement de Sofia produite par la recourante en langue bulgare, sans traduction. Il pouvait renoncer à une traduction de cette pièce, dans la mesure où il a pu apparemment prendre connaissance du contenu de son contenu et que la recourante avait renoncé à produire une traduction de cette pièce. Cette estimation était plus pertinente que la valeur fiscale dont se prévalait la recourante, laquelle ne correspond pas à la valeur vénale, qui est en général nettement plus élevée. Cela étant, dès lors que la recourante a produit, avec sa réplique, un nouveau rapport d’évaluation, établi le 19 mars 2019 par un expert membre de la chambre indépendante des experts bulgares, dûment traduit, il y a lieu de se fonder sur celui- ci pour déterminer la valeur vénale du bien dans les calculs fondant la demande de restitution. Rien ne permet en effet de remettre sérieusement en cause sa validité. Cette estimation, qui est motivée et a été établie par un évaluateur indépendant, doit se voir reconnaître une valeur probante plus élevée que la première estimation produite par la recourante, dès lors que cette dernière n’a pas été traduite – du</w:t>
      </w:r>
    </w:p>
    <w:p>
      <w:r>
        <w:t>A/437/2019 - 13/14 - moins officiellement puisque l’intimé semble avoir eu une connaissance de son contenu –, et qu’il n’est dès lors pas possible d’analyser objectivement son contenu. En conséquence, l’intimé devra reprendre son nouveau calcul des prestations en tenant compte, pour établir les valeurs vénale et locative de l’appartement, des chiffres ressortant du rapport d’estimation du 19 mars 2019. La recourante a conclu, sur la base de cette nouvelle pièce, que la valeur vénale de son bien soit fixée pour toute la période litigieuse à EUR 26'200.-. Ce montant pourra ainsi être pris en compte pour les années 2011 à 2018. Pour déterminer le taux de conversion applicable pour le calcul de la fortune immobilière et de la valeur locative y relative, l’intimé appliquera ses directives en la matière. c. Il convient encore de déterminer si délais de péremption ont été respectés. d.a. Le contrôle du dossier de la recourante a été initié le 22 novembre 2017. L’intimé a appris en décembre 2017 que cette dernière était propriétaire d’un appartement à Sofia. Il a reçu une estimation de la valeur vénale du bien, qui lui était nécessaire pour procéder au nouveau calcul des prestations, en mai 2018. C’est à partir de cette dernière date que courait le délai d’un an pour demander la restitution des prestations payées indûment. En adressant sa demande de restitution à la recourante le 4 juillet 2018, l’intimé a bien agi dans le délai de péremption. d.b. En ne déclarant pas au SPC son bien immobilier détenu en Bulgarie, la recourante a réalisé les conditions de l'infraction réprimée à l'art. 31 al. 1 let. d LPC. Elle avait expressément été interrogée lors de sa demande de prestations sur la question de savoir si elle avait des biens immobiliers et elle a répondu par la négative. Elle a ensuite reçu les communications adressées par l'intimé en décembre de chaque année, qui lui demandaient de vérifier si les éléments retenus pour le calcul des prestations étaient corrects et elle ne s'est pas manifestée à réception de ces courriers. Elle a ainsi, à tout le moins par dol éventuel, dissimulé une part de sa fortune et maintenu l'intimé dans l'erreur. Le délai de péremption de sept ans est par conséquent applicable et l’intimé pouvait requérir la restitution des prestations indûment versées du 1er juillet 2011 au 30 juin 2018.</w:t>
      </w:r>
    </w:p>
    <w:p>
      <w:r>
        <w:rPr>
          <w:b/>
        </w:rPr>
        <w:t>E. 7</w:t>
      </w:r>
    </w:p>
    <w:p>
      <w:r>
        <w:t>Au vu des considérations qui précèdent, le recours est partiellement admis. La décision querellée sera en conséquence annulée et la cause renvoyée au SPC pour nouvelle décision au sens des considérants.</w:t>
      </w:r>
    </w:p>
    <w:p>
      <w:r>
        <w:rPr>
          <w:b/>
        </w:rPr>
        <w:t>E. 8</w:t>
      </w:r>
    </w:p>
    <w:p>
      <w:r>
        <w:t>La recourante obtenant partiellement gain de cause et étant assisté d'un conseil, elle a droit à des dépens qui seront fixés à CHF 2'000.- (art. 61 let. g LPGA et 89H al. 1 LPA).</w:t>
      </w:r>
    </w:p>
    <w:p>
      <w:r>
        <w:rPr>
          <w:b/>
        </w:rPr>
        <w:t>E. 9</w:t>
      </w:r>
    </w:p>
    <w:p>
      <w:r>
        <w:t>La procédure est gratuite (art. 61 let. a LPGA).</w:t>
      </w:r>
    </w:p>
    <w:p>
      <w:r>
        <w:t>A/437/2019 - 14/14 -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