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ATAS/1054/2016 vom 16. Dezember 2016</w:t>
      </w:r>
    </w:p>
    <w:p>
      <w:r>
        <w:t>GE Cour de justice, 2016-12-16, FR</w:t>
      </w:r>
    </w:p>
    <w:p>
      <w:r>
        <w:rPr>
          <w:b/>
        </w:rPr>
        <w:t xml:space="preserve">Quelle: </w:t>
      </w:r>
      <w:r>
        <w:t>https://mcp.opencaselaw.ch/entscheid/ge_gerichte_ATAS_1054_2016</w:t>
      </w:r>
    </w:p>
    <w:p>
      <w:r>
        <w:t>FR: GE_GERICHTE ATAS/1054/2016 du 16 décembre 2016</w:t>
      </w:r>
    </w:p>
    <w:p>
      <w:r>
        <w:t>IT: GE_GERICHTE ATAS/1054/2016 del 16 dicembre 2016</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LPGA, entrée en vigueur le 1er janvier 2003, est applicable au cas d’espèce. Le recours, interjeté dans les forme et délai prévus par la loi, est recevable (art. 56 à 60 LPGA).</w:t>
      </w:r>
    </w:p>
    <w:p>
      <w:r>
        <w:rPr>
          <w:b/>
        </w:rPr>
        <w:t>E. 2</w:t>
      </w:r>
    </w:p>
    <w:p>
      <w:r>
        <w:t>Le litige porte sur le droit du recourant à des prestations de l’assurance-accidents au-delà du 29 octobre 2015.</w:t>
      </w:r>
    </w:p>
    <w:p>
      <w:r>
        <w:rPr>
          <w:b/>
        </w:rPr>
        <w:t>E. 3</w:t>
      </w:r>
    </w:p>
    <w:p>
      <w:r>
        <w:t>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w:t>
      </w:r>
    </w:p>
    <w:p>
      <w:r>
        <w:t>A/258/2016 - 6/10 - Selon l'art. 10 al. 1 LAA, l'assuré a droit au traitement médical approprié des lésions résultant de l'accident, à savoir, notamment, le traitement ambulatoire dispensé par le médecin (let. a) ainsi que le traitement, la nourriture et le logement en salle commune dans un hôpital (let. c). Ce droit s'étend à toutes les mesures qui visent une amélioration de l'état de santé ou à éviter une péjoration de cet état. Il s'agit d'éliminer de la manière la plus complète possible les atteintes à la santé physique ou psychique. La preuve que la mesure envisagée est de nature à améliorer l'état de santé doit être établie avec une vraisemblance suffisante; celle-ci est donnée dès que l'on peut admettre que le traitement envisagé ne représente pas seulement une possibilité lointaine d'amélioration (arrêt du Tribunal fédéral 8C_112/2014 du 23 janvier 2015 consid. 2.1).</w:t>
      </w:r>
    </w:p>
    <w:p>
      <w:r>
        <w:rPr>
          <w:b/>
        </w:rPr>
        <w:t>E. 4</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(arrêt du Tribunal fédéral 8C_268/2008 du 16 février 2009 consid. 2.3). La responsabilité de l'assureur-accidents s'étend, en principe, à toutes les conséquences dommageables qui se trouvent dans un rapport de causalité naturelle et adéquate avec l'événement assuré. Les prestations d'assurance sont également allouées en cas de rechutes et de séquelles tardives (art. 11 de l’ordonnance sur l'assurance-accidents du 20 décembre 1982 [OLAA - RS 832.202]). Il y a lieu d'admettre un lien de causalité naturelle lorsque, sans l’événement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 arrêt du Tribunal fédéral 8C_262/2008 du 11 février 2009 consid. 2.1). Ainsi, lorsque l'existence d'un rapport de cause à effet entre l'accident et le dommage paraît possible, mais qu'elle ne peut pas être qualifiée de probable dans le cas particulier, le droit à des prestations fondées sur l'accident assuré doit être nié (ATF 119 V 337 consid. 1, arrêt du Tribunal fédéral des assurances U 77/01 du 16 novembre 2001 consid. 2a).</w:t>
      </w:r>
    </w:p>
    <w:p>
      <w:r>
        <w:t>A/258/2016 - 7/10 -</w:t>
      </w:r>
    </w:p>
    <w:p>
      <w:r>
        <w:rPr>
          <w:b/>
        </w:rPr>
        <w:t>E. 5</w:t>
      </w:r>
    </w:p>
    <w:p>
      <w:r>
        <w:t>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(arrêt du Tribunal fédéral 8C_485/2014 du 24 juin 2015 consid. 3.2).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w:t>
      </w:r>
    </w:p>
    <w:p>
      <w:r>
        <w:rPr>
          <w:b/>
        </w:rPr>
        <w:t>E. 6</w:t>
      </w:r>
    </w:p>
    <w:p>
      <w:r>
        <w:t>L'art. 77 al. 3 LAA délègue au Conseil fédéral la compétence d'édicter des prescriptions sur l'obligation d'allouer des prestations et sur la collaboration des assureurs dans divers cas spéciaux, par exemple lorsqu'un nouvel accident se produit, notamment en cas de perte d'un organe pair ou d'autres modifications du degré d'invalidité (let. b). Sur la base de cette délégation de compétence, le Conseil fédéral a édicté l'art. 100 de l’ordonnance sur l'assurance-accidents du 20 décembre 1982 (OLAA - RS 832.202), qui, à son deuxième alinéa, dispose que si l'assuré est victime d'un accident alors qu'il est en traitement pour un ou plusieurs accidents, mais après qu'il a repris une activité soumise à l'assurance, l'assureur tenu de lui verser les prestations pour le nouvel accident alloue aussi les prestations pour les accidents précédents dans la mesure où le nouvel accident donne droit à des indemnités journalières. Les autres assureurs intéressés lui remboursent ces prestations, sans allocations de renchérissement, selon le dommage leur incombant; ils se libèrent ainsi de leur obligation d'allouer des prestations. Les assureurs intéressés peuvent déroger par convention à cette règle, notamment si le nouvel accident a des conséquences considérablement moins graves que le précédent. L’art. 100 OLAA vise à régler l’obligation de prester en cas de survenance de nouvel accident. Cela implique que le nouvel événement accidentel survient alors que les conséquences d’un premier accident ont disparu. Il est déterminant que plusieurs assureurs-accidents puissent entrer en considération s’agissant de l’obligation de prester. L’art. 100 OLAA n’est en revanche pas applicable au point de savoir si l’assureur compétent pour un premier accident doit aussi verser des prestations pour des événements ultérieurs qui ne sont assurés selon la LAA ni auprès de lui, ni auprès d’un autre assureur (Marc HÜRZELER, Intrasystemische Leistungskoordination im UVG. Wie weiter bei Zuständigkeitsstreitigkeiten unter</w:t>
      </w:r>
    </w:p>
    <w:p>
      <w:r>
        <w:t>A/258/2016 - 8/10 - Unfallversicherern, Responsabilité et assurance [REAS] 2009 p. 39, arrêt du Tribunal fédéral des assurances U 86/02 du 20 mars 2003 consid. 3).</w:t>
      </w:r>
    </w:p>
    <w:p>
      <w:r>
        <w:rPr>
          <w:b/>
        </w:rPr>
        <w:t>E. 7</w:t>
      </w:r>
    </w:p>
    <w:p>
      <w:r>
        <w:t>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ATF 133 V 450 consid. 11.1.3). Au demeurant, l'élément déterminant pour la valeur probante n'est ni l'origine du moyen de preuve ni sa désignation comme rapport ou comme expertise, mais son contenu (arrêt du Tribunal fédéral 9C_899/2013 du 24 février 2014 consid. 3.2).</w:t>
      </w:r>
    </w:p>
    <w:p>
      <w:r>
        <w:rPr>
          <w:b/>
        </w:rPr>
        <w:t>E. 8</w:t>
      </w:r>
    </w:p>
    <w:p>
      <w:r>
        <w:t>En l’espèce, l’intimée a fondé sa décision sur l’avis du Dr G______. Les conclusions du médecin d’arrondissement ont été émises en parfaite connaissance du dossier, et elles sont motivées et convaincantes. Par ailleurs, le recourant n’a fourni aucun rapport médical susceptible de les remettre en cause, malgré les délais qui lui ont été octroyés à cet effet. L’analyse du Dr G______ est en outre confortée par la lecture des rapports des médecins traitants et des documents radiologiques. Le Dr E______ a en particulier indiqué que la lésion transfixiante nécessitant l’intervention planifiée le 30 octobre 2015 n’était pas imputable à l’accident du 4 septembre 2015, mais à la chute survenue l’année précédente – période à laquelle le recourant avait refusé de subir l’intervention. De plus, ce médecin a indiqué que le nouvel événement accidentel de septembre 2014 avait occasionné une recrudescence des douleurs et de l’impotence de l’articulation, mais il n’a cité aucune lésion traumatique imputable au nouvel accident. La comparaison des rapports de radiographies et d’IRM d’avril et juin 2014 et de septembre 2015 révèle également des lésions très largement superposables. Le nouveau rapport d’IRM de septembre 2015 a certes mis en évidence une amyotrophie, qui n’est pas mentionnée dans le rapport d’arthro-IRM du 7 avril 2014. Le Dr G______ a cependant retenu que cette atteinte était une conséquence de l’accident de 2014. Cette analyse emporte la conviction, dès lors qu’il paraît impossible qu’un tel phénomène se soit produit dans les cinq jours écoulés entre le nouvel accident du 4 septembre 2015 et l’arthro-IRM pratiquée le 9 septembre suivant. Eu égard à ces éléments, la chambre de céans se ralliera à l’appréciation du Dr G______, selon laquelle l’événement accidentel du 4 septembre 2015 n’a plus déployé d’effets ouvrant le droit à des prestations d’accident après le 26 octobre 2014. Partant, la décision de l’intimée doit être confirmée. On précisera dans ce cadre qu’on ne se trouve pas dans la constellation visée par l’art. 100 al. 2 OLAA, qui pourrait fonder une obligation de prester de l’intimée. En effet, le recourant n’était</w:t>
      </w:r>
    </w:p>
    <w:p>
      <w:r>
        <w:t>A/258/2016 - 9/10 - plus en traitement pour les suites de l’accident de 2014 lorsque le nouvel accident est survenu (cf. arrêt du Tribunal fédéral des assurances U 170/06 du 4 avril 2007 consid. 4.3).</w:t>
      </w:r>
    </w:p>
    <w:p>
      <w:r>
        <w:rPr>
          <w:b/>
        </w:rPr>
        <w:t>E. 9</w:t>
      </w:r>
    </w:p>
    <w:p>
      <w:r>
        <w:t>Mal fondé, le recours sera rejeté. Le recourant n’a pas droit à des dépens (art. 61 let. g LPGA). Pour le surplus, la procédure est gratuite (art. 61 let. a LPGA). * * * * * *</w:t>
      </w:r>
    </w:p>
    <w:p>
      <w:r>
        <w:t>A/258/2016 - 10/10 -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