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ATAS/1054/2011 vom 14. November 2011</w:t>
      </w:r>
    </w:p>
    <w:p>
      <w:r>
        <w:t>GE Cour de justice, 2011-11-14, FR</w:t>
      </w:r>
    </w:p>
    <w:p>
      <w:r>
        <w:rPr>
          <w:b/>
        </w:rPr>
        <w:t xml:space="preserve">Quelle: </w:t>
      </w:r>
      <w:r>
        <w:t>https://mcp.opencaselaw.ch/entscheid/ge_gerichte_ATAS_1054_2011</w:t>
      </w:r>
    </w:p>
    <w:p>
      <w:r>
        <w:t>FR: GE_GERICHTE ATAS/1054/2011 du 14 novembre 2011</w:t>
      </w:r>
    </w:p>
    <w:p>
      <w:r>
        <w:t>IT: GE_GERICHTE ATAS/1054/2011 del 14 novembre 2011</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 du 18 juillet 2007 et une incapacité de travail alléguée depuis novembre 2005. La loi fédérale sur la partie générale du droit des assurances sociales du 6 octobre 2000 (LPGA) est</w:t>
      </w:r>
    </w:p>
    <w:p>
      <w:r>
        <w:t>A/3507/2010 - 10/25 -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mais uniquement pour les faits postérieurs à cette date.</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10 août 2010, qui a été confirmé par la décision du 15 septembre 2010, contre laquelle l'assurée a interjeté directement recours devant la Cour de céans le 15 octobre 2010.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t>A/3507/2010 - 11/25 -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w:t>
      </w:r>
    </w:p>
    <w:p>
      <w:r>
        <w:t>A/3507/2010 - 12/25 -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w:t>
      </w:r>
    </w:p>
    <w:p>
      <w:r>
        <w:t>A/3507/2010 - 13/25 -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 Selon l'art. 27 première phrase RAI, par travaux habituels des assurés travaillant dans le ménage, il faut entendre notamment l’activité usuelle dans le ménage, l’éducation des enfants ainsi que toute activité artistique ou d’utilité publique. Selon l'art. 27bis RAI,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b) Tant lors de l'examen initial du droit à la rente qu'à l'occasion d'une révision de celle-ci il faut examiner quelle méthode d'évaluation de l'invalidité il convient d'appliquer. Le choix de la méthode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w:t>
      </w:r>
    </w:p>
    <w:p>
      <w:r>
        <w:t>A/3507/2010 - 14/25 -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c)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arrêt I 90/02 du 30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arrêt 9C 108/2009 du 29 octobre 2009).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w:t>
      </w:r>
    </w:p>
    <w:p>
      <w:r>
        <w:t>A/3507/2010 - 15/25 -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w:t>
      </w:r>
    </w:p>
    <w:p>
      <w:r>
        <w:rPr>
          <w:b/>
        </w:rPr>
        <w:t>E. 8</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w:t>
      </w:r>
    </w:p>
    <w:p>
      <w:r>
        <w:t>A/3507/2010 - 16/25 -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t>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w:t>
      </w:r>
    </w:p>
    <w:p>
      <w:r>
        <w:t>A/3507/2010 - 17/25 -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w:t>
      </w:r>
    </w:p>
    <w:p>
      <w:r>
        <w:t>A/3507/2010 - 18/25 -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A/3507/2010 - 19/25 -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a) En l'espèce, le Tribunal cantonal des assurances sociales a, dans son arrêt du 14 août 2009, ordonné à l'OAI de procéder à une instruction complémentaire par le biais d'une expertise pluridisciplinaire rhumatologique, neurologique, oto-rhino-</w:t>
      </w:r>
    </w:p>
    <w:p>
      <w:r>
        <w:t>A/3507/2010 - 20/25 - laryngologique et psychiatrique. L'intimé a mandaté le CEMed pour une expertise avec volets rhumatologique, psychiatrique et ORL selon un avis du SMR du 17 novembre 2009. Dans le cadre du présent recours, les parties ont toutes deux conclu à l'ordonnance d'une expertise neurologique qui n'avait pas été ordonnée par l'intimé. La Cour de céans a fait droit à cette demande par ordonnance du 4 février 2011 et réservé la question de la valeur probante de l'expertise du CEMed. b) L'expertise pluridisciplinaire, rhumatologique, oto-rhino-laryngologique et psychiatrique, du CEMed, du 5 juillet 2010, ainsi que l'expertise judiciaire neurologique remplissent les critères jurisprudentiels pour qu'il leur soit reconnu une pleine valeur probante. Les expertises font état de l'histoire médicale de la recourante, des données personnelles, familiales et socioprofessionnelles et des plaintes de celle-ci de façon complète. Elles se fondent aussi sur des examens complémentaires (échographie de la hanche droite du 9 février 2010, examens otoneurologiques ENMG du 14 juillet 2011, IRM cérébrale et médullaire du 19 juillet 2011). Les conclusions sont claires et bien motivées. Du point de vue psychique et neurologique aucun diagnostic ayant une répercussion sur la capacité de travail n'a été posé; du point de vue rhumatologique le diagnostic de périarthrite de la hanche droite (et non pas gauche, selon rectification du Dr T____________ du 14 octobre 2011) sur tendinite du moyen fessier entraîne des limitations fonctionnelles (pas de position debout prolongée ni montée d'escaliers ou tentative de maintien de l'équilibre en appui monopodal droit); du point de vue auditif, le diagnostic de surdité mixte à forte composante de transmission, bilatérale prédominant à droite, voire une atteinte rétrocochléaire surajoutée ainsi qu'une atteinte vestibulaire périphérique entraîne aussi des limitations fonctionnelles (pas de travail dans un milieu bruyant avec contact avec la clientèle, pas de travail en hauteur ou avec mouvements incessants de la tête ou du corps). Toute activité respectant ces limitations fonctionnelles est possible à 100 %. Il est à constater qu'aucun avis médical au dossier ne contredit les conclusions tant de l'expertise du CEMed que de l'expertise judiciaire. c) La recourante conteste la valeur probante de l'expertise du CEMed en relevant que les critères jurisprudentiels permettant de déterminer si la fibromyalgie est invalidante n'ont pas été examiné par les experts, que l'impact des allergies médicamenteuses sur son état psychique n'a pas été évalué, qu'elle est contrainte de prendre du Tramal ce qui entraîne une diminution de la vitesse de réaction, que le diagnostic de périarthrite de la hanche gauche a été confondu avec celui de la hanche droite, que compte tenu de toutes ses limitations fonctionnelles, aucune activité n'est exigible, que le taux de capacité de travail retenu est arbitraire, qu'il est contradictoire de la part des experts du CEMed de retenir une capacité de travail de 100 % et une incapacité de travail de 20 % au moins depuis 2006, que le Dr L____________ a considéré que l'activité de vendeuse n'est pas possible, que</w:t>
      </w:r>
    </w:p>
    <w:p>
      <w:r>
        <w:t>A/3507/2010 - 21/25 - tout au plus une activité adaptée est possible à 50 %. Par ailleurs, l'enquête économique est trop ancienne pour être pertinente et se fonde sur un statut d'active à 80 % alors qu'elle n'a jamais travaillé à plus de 60 %. Elle conclut que son empêchement dans la sphère ménagère est d'au moins 50 % et son degré d'invalidité d'au moins 50 %. Force est de constater que les lacunes importantes et les contradictions évidentes dont fait état la recourante à l'égard de l'expertise du CEMed ne sont pas étayées. En particulier, l'avis du Dr T____________ du 14 octobre 2011 a permis de clarifier le diagnostic de périarthrite en le rapportant clairement à la hanche droite et non pas à la hanche gauche, ce qui est cohérent avec la motivation de l'expertise, de sorte que celle-ci n'est plus contradictoire. La recourante invoque aussi une contradiction de l'expertise du CEMed avec l'avis du SMR du 20 mai 2008, lequel a retenu des limitations fonctionnelles écartées par l'expertise du CEMed. Le SMR, dans son rapport du 21 mai 2008, a retenu des limitations fonctionnelles supplémentaires par rapport à l'expertise du CEMed, (soit pas de position statique assise au-delà de 40 minutes sans possibilité de varier les positions assise/debout, pas de position en anteflexion, en porte-à-faux du rachis contre résistance, diminution du périmètre de marche à environ 15 à 20 minutes et pas de position en génuflexion ou accroupie à répétition, pas de mouvement de rotation ou flexion/extension du rachis cervical à répétition, pas de position statique prolongée du rachis cervical, pas d'activité avec les membres supérieurs au-delà de 60° d'antépulsion ou d'abduction à répétition). Cependant, l'expertise du CEMed a expliqué qu'elle ne retenait pas de limitation fonctionnelle douloureuse pour le rachis en l'absence de lésion anatomique et que les rachialgies entraient dans le contexte de la fibromyalgie (rapport. p. 15) laquelle n'était pas invalidante (rapport. p. 18). L'expertise du CEMed a ainsi motivé de façon convaincante la divergence de diagnostic et de limitations fonctionnelles retenues avec le SMR. En toute hypothèse, les SMR a estimé, nonobstant toutes les limitations fonctionnelles susdécrites, une capacité de travail de 100 % dans une activité à caractère sédentaire, sans diminution de rendement (rapport p. 8), de sorte que les conclusions du SMR et du CEMed ne sont à cet égard pas divergentes. Enfin, l'avis du SMR du 19 juillet 2010 qui fait suite à l'expertise du CEMed a retenu tant les limitations fonctionnelles établies par le SMR le 20 mai 2008 que celles issues de l'expertise du CEMed, comme le requiert la recourante et a estimé que la capacité de travail demeurait de 100 % dans une activité adaptée. Quant aux lacunes importantes de l'expertise, elles se rapportent selon la recourante au défaut de motivation du caractère invalidant de la fibromyalgie et à la non prise en compte des allergies médicamenteuses. S'agissant de l'examen du caractère invalidant de la fibromyalgie, force est de constater qu'il n'existe pas de comorbidité psychiatrique importante, seule une dysthymie ayant été diagnostiquée, qu'aucun élément ne permet de considérer que la recourante présente une perte d'intégration sociale dans toutes les manifestations de la vie (elle a notamment du soutien de</w:t>
      </w:r>
    </w:p>
    <w:p>
      <w:r>
        <w:t>A/3507/2010 - 22/25 - quelques amis qu'elle voit régulièrement - rapport CEMed p. 10), ou un état psychique cristallisé sans évolution possible au plan thérapeutique, et que même si les affections corporelles chroniques et l'échec des traitements devaient être admis (alors même que la recourante n'a pas de suivi psychiatrique), ils ne sauraient à eux seuls qualifier la fibromyalgie d'invalidante, les experts du CEMed ayant admis qu'un effort de volonté de la part de la recourante était exigible et qu'elle disposait de ressources psychiques lui permettant de surmonter ses douleurs puisqu'ils ont reconnu une capacité de travail entière dans une activité adaptée. Ainsi, même si l'expertise ne contient pas d'examen précis du caractère invalidant de la fibromyalgie, son contenu permet de comprendre et de confirmer que la fibromyalgie n'est en l'espèce pas invalidante. S'agissant de l'allergie médicamenteuse, elle a été prise en compte par les experts dans leur appréciation globale puisqu'elle ressort de l'histoire médicale de la recourante (rapport CEMed p. 6-7). Quant au taux d'incapacité de travail d'au moins 20 % depuis 2006 dû à la périarthrite de la hanche (rapport CEMed p. 19), qui se rapporte à l'ancienne activité de vendeuse, il n'est pas contradictoire avec la reconnaissance d'une capacité de travail de 100 % dans une activité adaptée. Enfin, la recourante ne conteste pas la valeur probante de l'expertise judiciaire. d) Au vu de ce qui précède, il convient de suivre les conclusions de l'expertise du CEMed et de l'expertise judiciaire et de retenir que la recourante présente depuis le 1er avril 2006 une capacité de travail de 100 % dans une activité adaptée à ses limitations fonctionnelles. La question de l'exigibilité, depuis le 1er avril 2006, d'une activité de vendeuse à 50 % peut ainsi rester ouverte.</w:t>
      </w:r>
    </w:p>
    <w:p>
      <w:r>
        <w:rPr>
          <w:b/>
        </w:rPr>
        <w:t>E. 11</w:t>
      </w:r>
    </w:p>
    <w:p>
      <w:r>
        <w:t>a) S'agissant du statut de la recourante, celle-ci invoque un statut mixte de ménagère à 40 % et d'active à 60 %. La recourante a en effet déclaré dans le questionnaire de l'intimé qu'elle exercerait une activité à 60 % mais il ressort de l'enquête ménagère que la recourante travaillerait à 80 % en bonne santé, vu sa situation familiale. En toute hypothèse, cette question peut rester ouverte vu ce qui suit. L'enquête économique sur le ménage du 21 août 2008 a tenu compte de toutes les limitations fonctionnelles de la recourante hormis celle liée aux troubles auditifs qui n'ont cependant pas d'impact sur la capacité à accomplir les travaux habituels, les limitations fonctionnelles en découlant étant les suivantes : éviter les milieux bruyants, le contact avec la clientèle, les travaux en hauteur, les plans instables et les mouvements incessants de la tête et du corps - (rapport CEMed p. 19). La recourante se borne à observer qu'elle subit un empêchement d'au moins 50 % dans la sphère ménagère, sans motiver précisément quels postes auraient été sous- évalués. Or, l'enquêtrice a pris en compte les limitations fonctionnelles de la recourante qu'elle a qualifié de nombreuses et abouti à un taux d'invalidité de 23,9 %.</w:t>
      </w:r>
    </w:p>
    <w:p>
      <w:r>
        <w:t>A/3507/2010 - 23/25 - Aucun élément ne permet de remettre en cause cette enquête économique, ce nonobstant le fait qu'elle a été conduite en 2008 dès lors qu'elle a tenu compte de toutes les limitations fonctionnelles pertinentes de la recourante. Le taux d'invalidité dans la sphère ménagère est ainsi de 9,56 % si la recourante a un statut de ménagère à 40 % et de 4,78 % si elle a un statut de ménagère à 20 %. b) S'agissant de la sphère lucrative, si l'on tient compte d'un revenu sans invalidité dans le domaine de la vente (ESS 2006 - TA1 - secteur services - femme - niveau 4) de 4'011 fr. par mois, adapté à un horaire de travail hebdomadaire en 2006 dans le secteur tertiaire de 41,7 heures (La vie économique 11-2009 p. 94), soit 4'181 fr. par mois et un revenu avec invalidité (ESS 2006 - TA1 - secteur total - femme - niveau 4) de 4'019 fr. par mois, adapté à un horaire de travail hebdomadaire en 2006 de 41,7 heures (La vie économique op. cit.), soit 4'190 fr. par mois, avec une déduction globale de 20 %, compte tenu des nombreuses limitations fonctionnelles de la recourante, soit un revenu d'invalide de 3'352 fr., le taux d'invalidité est de 19,82 % s'agissant du revenu avec invalidité issu des données statistiques telles qu'elles ressortent de l'ESS. Il convient d'admettre qu'au regard du large éventail d'activités simples que recouvrent les secteurs de la production et des services on doit convenir qu'un certain nombre d'entre elles sont légères et permettent l'alternance des positions tout en respectant les autres limitations fonctionnelles de la recourante. Le taux d'invalidité global est calculé ainsi : Avec un statut de la recourante de 60 % active et de 40 % ménagère : 60 %</w:t>
      </w:r>
    </w:p>
    <w:p>
      <w:r>
        <w:t>19,82 % 11,89 % 40 %</w:t>
      </w:r>
    </w:p>
    <w:p>
      <w:r>
        <w:t>23,9 % 9,56 % Taux d'invalidité :</w:t>
      </w:r>
    </w:p>
    <w:p>
      <w:r>
        <w:t>21,45 % Avec un statut de la recourante de 80 % active et de 20 % ménagère : 80 %</w:t>
      </w:r>
    </w:p>
    <w:p>
      <w:r>
        <w:t>19,82 % 15,85 % 20 %</w:t>
      </w:r>
    </w:p>
    <w:p>
      <w:r>
        <w:t>23,9 % 4,78 % Taux d'invalidité :</w:t>
      </w:r>
    </w:p>
    <w:p>
      <w:r>
        <w:t>20,63 % Il est à constater que même si l'on retient une déduction globale de 25 % au lieu de 20 % sur le revenu d'invalide, le taux d'invalidité dans la sphère lucrative n'est que de 24,8 %, soit un taux d'invalidité global de 34 % si le statut de la recourante est de 60 % active et de 30 % s'il est de 80 % active.</w:t>
      </w:r>
    </w:p>
    <w:p>
      <w:r>
        <w:t>A/3507/2010 - 24/25 - c) Ces taux sont insuffisants pour ouvrir le droit à une rente d'invalidité. En revanche, il convient de renvoyer le dossier à l'intimé pour examiner si des mesures d'ordre professionnel sont indiquées, en particulier un reclassement professionnel, celui-ci étant accordé à partir d'un taux d'invalidité d'environ 20 % (ATF 124 V 108), taux que la recourante atteint quel que soit le statut retenu.</w:t>
      </w:r>
    </w:p>
    <w:p>
      <w:r>
        <w:rPr>
          <w:b/>
        </w:rPr>
        <w:t>E. 12</w:t>
      </w:r>
    </w:p>
    <w:p>
      <w:r>
        <w:t>a) Au vu de ce qui précède, le recours sera partiellement admis, la décision litigieuse annulée dans la mesure où elle refuse toute mesure professionnelle à la recourante et confirmée pour le surplus et la cause renvoyée à l'intimé pour qu'il examine le droit de la recourante à des mesures d'ordre professionnel. b) Une indemnité de 1'000 fr. sera allouée à la recourante à charge de l'intimé et un émolument de 200 fr. mis à la charge de celui-ci. Par ailleurs, l'intimé ayant admis qu'il avait omis de mener l'expertise neurologique à la suite de l'arrêt du Tribunal cantonal des assurances sociales du 14 août 2009 (ATAS/1009/2009), il convient de mettre à sa charge les frais de l'expertise judiciaire, au montant de 3'325 fr.</w:t>
      </w:r>
    </w:p>
    <w:p>
      <w:r>
        <w:t>A/3507/2010 - 25/25 -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