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ATAS/1053/2020 vom 10. November 2020</w:t>
      </w:r>
    </w:p>
    <w:p>
      <w:r>
        <w:t>GE Cour de justice, 2020-11-10, FR</w:t>
      </w:r>
    </w:p>
    <w:p>
      <w:r>
        <w:rPr>
          <w:b/>
        </w:rPr>
        <w:t xml:space="preserve">Quelle: </w:t>
      </w:r>
      <w:r>
        <w:t>https://mcp.opencaselaw.ch/entscheid/ge_gerichte_ATAS_1053_2020</w:t>
      </w:r>
    </w:p>
    <w:p>
      <w:r>
        <w:t>FR: GE_GERICHTE ATAS/1053/2020 du 10 novembre 2020</w:t>
      </w:r>
    </w:p>
    <w:p>
      <w:r>
        <w:t>IT: GE_GERICHTE ATAS/1053/2020 del 10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rPr>
          <w:b/>
        </w:rPr>
        <w:t>E. 3</w:t>
      </w:r>
    </w:p>
    <w:p>
      <w:r>
        <w:t>L’objet du litige porte sur le bien-fondé de la suspension de cinq jours du droit à l’indemnité du recourant au motif que ses recherches personnelles d’emploi étaient insuffisantes pour le mois de septembre 2019.</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Pour juger de la suffisance des efforts consentis par l’intéressé dans ses recherches d’emploi, il doit être tenu compte non seulement de la quantité, mais aussi de la qualité des démarches entreprises (ATF 124 V 231 consid. 4). Sur le plan qualitatif, l’assuré doit cibler ses recherches d’emploi, en règle générale selon les méthodes de postulation ordinaires (art. 26 al. 1 de l’ordonnance sur l’assurance-chômage obligatoire et l’indemnité en cas d’insolvabilité du 31 août 1983 (OACI - RS 837.02)).</w:t>
      </w:r>
    </w:p>
    <w:p>
      <w:r>
        <w:t>A/820/2020 - 5/10 - Selon le Secrétariat d’État à l’économie (ci-après : SECO), la manière de postuler pour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(Bulletin LACI/IC, B315 et B316). b. Le droit de l’assuré à l’indemnité est suspendu, notamment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Lorsque l’assuré a effectué des recherches mais insuffisantes durant la période de contrôle, la durée de la suspension est de 3 à 4 jours la première fois, de 5 à 9 jours la deuxième fois, et de 10 à 19 jours la troisième fois et la quatrième fois le dossier est renvoyé à l’autorité cantonale pour décision (Bulletin LACI/IC, D79).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(art. 45 al. 1 OACI ; Bulletin LACI/IC, D63). Le barème du SECO constitue un instrument précieux pour ces organes d’exécution lors de la fixation de la sanction et contribue à une application plus égalitaire dans</w:t>
      </w:r>
    </w:p>
    <w:p>
      <w:r>
        <w:t>A/820/2020 - 6/10 -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 601/2012 du 26 février 2013 consid. 4.1, non publié in ATF 139 V 164 et les références ; arrêt du Tribunal fédéral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La chambre de céans doit se limiter à examiner si l’administration a fait un usage critiquable de son pouvoir d’appréciation (arrêt du Tribunal fédéral 8C 316/07 du 16 avril 2008 consid. 2.2).</w:t>
      </w:r>
    </w:p>
    <w:p>
      <w:r>
        <w:rPr>
          <w:b/>
        </w:rPr>
        <w:t>E. 5</w:t>
      </w:r>
    </w:p>
    <w:p>
      <w:r>
        <w:t>S’agissant de l’obligation de renseigner,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w:t>
      </w:r>
    </w:p>
    <w:p>
      <w:r>
        <w:t>A/820/2020 - 7/10 - des déclarations ou un comportement déterminé de l’administration (ATF 141 V 530).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du 31 mai 2010 consid. 4.2).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rPr>
          <w:b/>
        </w:rPr>
        <w:t>E. 7</w:t>
      </w:r>
    </w:p>
    <w:p>
      <w:r>
        <w:t>En l’espèce, il convient en premier lieu de relever que la décision du 15 octobre 2019, infligeant au recourant une suspension du droit à l’indemnité journalière de chômage de trois jours pour recherches personnelles insuffisantes</w:t>
      </w:r>
    </w:p>
    <w:p>
      <w:r>
        <w:t>A/820/2020 - 8/10 - quantitativement pour le mois d’août 2019, est entrée en force, faute d’avoir été attaquée. La décision litigieuse, qui porte sur les recherches entreprises par le recourant au courant du mois de septembre 2019, retient que le recourant n’a pas fourni suffisamment de recherches personnelles d’emploi, en particulier en postulant auprès de B______SA, alors même qu’il avait déjà fourni des recherches personnelles d’emploi auprès de cet employeur à deux reprises au mois d’août 2019. Devant la chambre de céans, le recourant fait valoir qu’il n’avait jamais été rendu attentif au fait que les relances n’étaient pas prises en compte. En l’occurrence, il ressort du plan d’actions, signé par le recourant le 12 juin 2019, que ce dernier devait faire au moins dix recherches d’emploi par mois, diversifiées et réparties sur l’ensemble du mois, étant précisé que pour les inscriptions dans les agences de placement seule la première visite compte comme recherche d’emploi. À la lecture de ce document, il n’est pas évident de comprendre que les postulations auprès du même employeur ne sont, en principe, comptées qu’une seule fois. On peut en effet légitimement considérer que la postulation auprès du même employeur est efficace dans le cadre de la recherche d’un emploi, car elle démontre un engagement de l’assuré, en particulier lorsque, comme en l’espèce, c’est l’employeur lui-même qui invite le recourant à relancer sa candidature. À cela s’ajoute qu’on ne peut pas exclure que les relances concernaient des postes différents, comme cela ressort des déclarations du recourant (cf. procès-verbal de comparution personnelle du 3 novembre 2020, p. 2). Dans ces conditions, il appartenait à la conseillère en personnel d’attirer l’attention du recourant sur la pratique de l’OCE, consistant à considérer que le suivi d’une postulation fait partie du processus lié à la postulation de base (cf. ATAS/200/2016 du 14 mars 2016 consid. 8 et procès-verbal de comparution personnelle du 3 novembre 2020, p. 1 et 2), ainsi que sur le fait qu’une nouvelle relance auprès du même employeur pourrait mettre en péril la réalisation de l’une des conditions du droit aux prestations. Or, il ressort du dossier, en particulier des procès-verbaux des entretiens de conseil des 12 juin 2019,</w:t>
      </w:r>
    </w:p>
    <w:p>
      <w:r>
        <w:rPr>
          <w:b/>
        </w:rPr>
        <w:t>E. 9</w:t>
      </w:r>
    </w:p>
    <w:p>
      <w:r>
        <w:t>juillet 2019, 3 septembre 2019 et 24 octobre 2019 (pièce 50 intimé) que ce point n’a jamais été évoqué. La conseillère en personnel aurait pourtant eu l’occasion de soulever ce point puisque le recourant avait déjà mentionné à deux reprises le même employeur dans son formulaire de recherches d’emploi du mois d’août 2019, remis à l’ORP le 3 septembre 2019 (cf. pièce 21 intimé et procès-verbal de comparution personnelle des parties du 3 novembre 2020, p. 1), ce qui lui a valu une suspension de trois jours dans l’exercice de son droit à l’indemnité (cf. décision du 15 octobre 2019 ; supra EN FAIT consid. 4). L’intimé admet du reste lui-même que le formulaire de recherches d’emploi pour le mois d’août 2019 remis par le recourant appelait une discussion sur ce point (cf. procès-verbal de comparution personnelle du 3 novembre 2020, p. 2). Il convient donc de retenir que le recourant n’a pas été suffisamment informé de la nécessité d’enregistrer des employeurs</w:t>
      </w:r>
    </w:p>
    <w:p>
      <w:r>
        <w:t>A/820/2020 - 9/10 - différents dans ses formulaires de recherches avant le mois de septembre 2019 (cf. ATAS/1016/2019 du 6 novembre 2019 consid. 6). Or, si le recourant avait été informé des conséquences des relances auprès du même employeur au moment de ses recherches d’emploi pour le mois de septembre 2019, il se serait abstenu, au degré de la vraisemblance prépondérante, d’inscrire B______SA une troisième fois dans son formulaire de recherches d’emploi du mois de septembre 2019, remis à l’intimé le 4 octobre 2019. Au regard des exigences jurisprudentielles précitées, force est de constater que l’administration est bien intervenue dans une situation concrète à l’égard du recourant, qu’elle a agi dans le cadre de ses compétences, que le recourant n’a pas eu connaissance des renseignements omis - dès lors que la problématique des relances auprès du même employeur n’a jamais été abordée (cf. entretiens de conseils des 12 juin 2019, 9 juillet 2019, 3 septembre 2019 et 24 octobre 2019 : pièce 50 intimé) - et que, dans son formulaire de recherches d’emploi pour le mois de septembre 2019, le recourant a inscrit le même employeur pour la troisième fois, faute d’indications fournies à ce sujet par l’administration. Le défaut de renseignement de l’ORP a ainsi conduit le recourant à un comportement préjudiciable à ses intérêts, puisque l’inscription de l’employeur B______SA dans son formulaire de recherches d’emploi pour le mois de septembre 2019 lui a valu une suspension de cinq jours dans l’exercice de son droit à l’indemnité. Au vu de ce qui précède, les conditions pour permettre au recourant de se prévaloir du principe de la protection de la bonne foi sont réunies. 8. Aussi le recours est-il admis et la décision sur opposition du 7 février 2020 annulée. Il ne sera pas alloué d’indemnité de procédure au recourant qui n’est pas représenté et n’a pas fait valoir de frais engendrés par la procédure (art. 61 let. g LPGA). La procédure est gratuite. * * * * * *</w:t>
      </w:r>
    </w:p>
    <w:p>
      <w:r>
        <w:t>A/820/2020 - 10/10 -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