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ATAS/1053/2016 vom 16. Dezember 2016</w:t>
      </w:r>
    </w:p>
    <w:p>
      <w:r>
        <w:t>GE Cour de justice, 2016-12-16, FR</w:t>
      </w:r>
    </w:p>
    <w:p>
      <w:r>
        <w:rPr>
          <w:b/>
        </w:rPr>
        <w:t xml:space="preserve">Quelle: </w:t>
      </w:r>
      <w:r>
        <w:t>https://mcp.opencaselaw.ch/entscheid/ge_gerichte_ATAS_1053_2016</w:t>
      </w:r>
    </w:p>
    <w:p>
      <w:r>
        <w:t>FR: GE_GERICHTE ATAS/1053/2016 du 16 décembre 2016</w:t>
      </w:r>
    </w:p>
    <w:p>
      <w:r>
        <w:t>IT: GE_GERICHTE ATAS/1053/2016 del 16 dicembre 2016</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w:t>
      </w:r>
    </w:p>
    <w:p>
      <w:r>
        <w:t>A/4261/2015 - 16/23 - assurances complémentaires à l’assurance-maladie sociale prévue par la LAMal, relevant de la loi fédérale sur le contrat d'assurance du 2 avril 1908 (loi sur le contrat d’assurance, LCA - RS 221.229.1). Sauf disposition contraire de la loi – en l’espèce inexistante, du fait que la loi fédérale du 24 mars 2000 sur les fors, à laquelle renvoie l’art. 46a phr. 2 LCA, a été abrogée au 1er janvier 2011 par l’entrée en vigueur du CPC (annexe 1 prévue par l’art. 402 CPC - RO 2010 1736) –, le for est, pour les actions dirigées contre les personnes morales, celui de leur siège (art. 10 al. 1 let. b CPC), sous réserve d’une élection de for, dont l’art. 17 al. 1 CPC consacre la possibilité. b. Il n’est pas contesté que l’employeur du demandeur est assuré auprès de la défenderesse dans le cadre d’une assurance d’indemnités journalières collective en cas de maladie. Ainsi que la défenderesse l’a expliqué, pièces justificatives à l’appui, ladite assurance est régie par les conditions générales d’assurance (ci- après : CGA) valant lors de sa conclusion auprès de l’assurance Phenix, rachetée en septembre 2010 par Helvetia puis transférée à la défenderesse s’agissant du portefeuille « maladie » (et à Solida Assurances SA s’agissant du portefeuille « accidents »), avec reprise desdites CGA. Les CGA de l’assurance collective perte de gain selon la LCA (win et cash) d’Innova, édition du 1er janvier 2013, auxquelles le demandeur s’est référée, ne donc pas applicables. La question des CGA applicables est cependant sans incidence dans la présente cause, déjà sur le sujet du for, les deux CGA invoquées reconnaissant aussi le for du domicile suisse de l’assuré (art. 19 al. 2 des CGA de Phenix et art. H4 des CGA d’Innova), mais aussi en l’occurrence sur le fond (pour des indemnités perte de gain requises pour la période du 1er juin 2015 au 29 février 2016), les deux CGA considérées conditionnant le droit à des indemnités perte de gain pour cause de maladie à l’existence d’une maladie provoquant une incapacité de travail dûment attestée. c. La compétence de la chambre de céans à raison de la matière et du lieu pour juger du cas d’espèce est ainsi établie, le demandeur étant domicilié dans le canton de Genève. d. La demande respecte les conditions de forme prévues par la loi (art. 130 s. CPC).</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possibilité dont le législateur genevois a fait usage (art. 134 al. 1 let. c LOJ).</w:t>
      </w:r>
    </w:p>
    <w:p>
      <w:r>
        <w:rPr>
          <w:b/>
        </w:rPr>
        <w:t>E. 3</w:t>
      </w:r>
    </w:p>
    <w:p>
      <w:r>
        <w:t>La procédure simplifiée s'applique aux litiges portant sur des assurances complémentaires à l’assurance-maladie sociale au sens de la LAMal (art. 243 al. 2 let. f CPC). La maxime inquisitoire sociale est applicable (art. 247 al. 2 let. a CPC). La jurisprudence applicable avant l'introduction du CPC, prévoyant l'application de la maxime inquisitoire sociale aux litiges relevant de l'assurance-maladie</w:t>
      </w:r>
    </w:p>
    <w:p>
      <w:r>
        <w:t>A/4261/2015 - 17/23 -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130 III 321 consid. 3.1; 129 III 18 consid. 2.6; 127 III 519 consid. 2a). Cette disposition ne prescrit cependant pas quelles sont les mesures probatoires qui doivent être ordonnées (cf. ATF 122 III 219 consid. 3c; 119 III 60 consid. 2c). Elle n'empêche pas le juge de refuser une mesure probatoire par une appréciation anticipée des preuves (ATF 121 V 150 consid. 5a). L'art. 8 CC ne dicte pas comment le juge peut forger sa conviction (ATF 122 III 219 consid. 3c; 119 III 60 consid. 2c;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w:t>
      </w:r>
    </w:p>
    <w:p>
      <w:r>
        <w:rPr>
          <w:b/>
        </w:rPr>
        <w:t>E. 4</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w:t>
      </w:r>
    </w:p>
    <w:p>
      <w:r>
        <w:t>A/4261/2015 - 18/23 -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5</w:t>
      </w:r>
    </w:p>
    <w:p>
      <w:r>
        <w:t>Sur le fond, le litige porte sur le droit du demandeur à des indemnités perte de gain du 1er juin 2015 au 29 février 2016 en raison d’une incapacité de travail pour cause de maladie, soit plus précisément sur la base du diagnostic de stress post- traumatique et d’une incapacité totale de travail en résultant respectivement posé et certifiée par la Dresse F______. Se prévalant de considérations procédurales, le demandeur fait cependant valoir qu’il a allégué suffisamment les faits fondant sa prétention précitée (chiffrée, après amplification, à CHF 21'555.-), mais que la défenderesse n’a, à un quelconque stade de la cause depuis l’annonce du sinistre, rien entrepris aux fins d’examiner la prétention émise et s’est contentée de contester cette dernière de façon toute générale, si bien que les faits fondant sa prétention doivent être réputés établis et ses conclusions lui être allouées entièrement, une expertise privée n’ayant en tout état pas plus de valeur qu’un allégué susceptible d’être contesté. La défenderesse objecte de son côté que le demandeur refusait sans justification de collaborer à l’établissement des faits de la cause, tandis qu’elle avait apporté la</w:t>
      </w:r>
    </w:p>
    <w:p>
      <w:r>
        <w:t>A/4261/2015 - 19/23 - preuve de ses propres allégations, respectivement la contre-preuve des allégués du demandeur, si bien qu’il faut débouter ce dernier de toutes ses conclusions.</w:t>
      </w:r>
    </w:p>
    <w:p>
      <w:r>
        <w:rPr>
          <w:b/>
        </w:rPr>
        <w:t>E. 6</w:t>
      </w:r>
    </w:p>
    <w:p>
      <w:r>
        <w:t>a. Selon la jurisprudence, seules doivent être prouvées les allégations qui sont expressément contestés. Une telle contestation doit être suffisamment précise afin que l’on puisse déterminer quelles sont les allégations du demandeur qui sont contestées. Le degré de la motivation d’une allégation exerce une influence sur le degré exigible de motivation d’une contestation ; plus détaillées sont certaines allégations de la partie qui a le fardeau de la preuve, plus concrètement la partie adverse doit expliquer quels sont au sein de celles-ci les éléments de fait qu’elle conteste ; le fardeau de la contestation ne saurait toutefois entrainer un renversement du fardeau de la preuve (ATF 141 III 433 consid. 2.6 ; arrêt du Tribunal fédéral 4A_318/2016 du 3 août 2016 consid. 3.1). Si, en procédure simplifiée, la demande est soumise à des exigences allégées par rapport à une demande en procédure ordinaire, y compris en matière d’énonciation des faits et des preuves offertes, elle n’en doit pas moins comporter une description suffisante de l’objet du litige (art. 244 al. 1 CPC), et les faits pertinents susceptibles de fonder les prétentions émises doivent être allégués à tout le moins lors des débats (art. 245 CPC). b. En l’espèce, avant d’agir judiciairement, le demandeur ne fondait des prétentions en versement d’indemnités perte de gain postérieurement au 31 mai 2015 que sur l’événement accidentel qu’il avait subi le 3 mars 2015. Il ne s’est adressé à la défenderesse, pour la première fois le 1er juillet 2015, qu’à titre subsidiaire, soit seulement pour le cas où son incapacité de travail ne devait finalement être considérée comme étant dans un lien de causalité avec ledit accident, ainsi que l’assureur-accidents l’avait décidé par une décision qu’il avait frappée d’opposition. Il n’a alors pas fait mention – du moins n’allègue-t-il et ne démontre-t-il pas le contraire – de troubles psychiques, les pièces jointes à son courrier du 1er juillet 2015 étant la décision de l’assureur-accidents ainsi que deux certificats non motivés d’incapacité totale de travail (mais pas même l’attestation, pourtant déjà disponible, évoquant un état de stress post-traumatique provoquant un arrêt de travail prolongé au moins jusqu’à la fin de l’année). Dans le formulaire « Déclaration d’incapacité de travail – Indemnité journalière collective » que son employeur a retourné le 28 juillet 2015 à la défenderesse a été indiqué, sous la rubrique « Maladie », qu’il s’agissait des suites de l’accident du 3 mars 2015. L’assuré a fait mention, sans la moindre précision, de problèmes psychiques en plus de problèmes somatiques dans le courrier qu’il a adressé le 24 août 2015 à la défenderesse, en indiquant le nom de ses deux médecins, respectivement le Dr E______ et la Dresse F______. Il ne ressort pas du dossier que l’assuré aurait communiqué à la défenderesse une copie du courrier de la Dresse F______ du 12 octobre 2015, invoquant un état de stress post-traumatique consécutif à l’accident précité, à la suite duquel deux souvenirs liés à d’autres situations de la vie dans lesquelles il s’était senti menacé de mort remontaient sans cesse à lui alors qu’ils</w:t>
      </w:r>
    </w:p>
    <w:p>
      <w:r>
        <w:t>A/4261/2015 - 20/23 - s’étaient jusque-là estompés. Il est compréhensible et normal, dans ces conditions, que la défenderesse n’ait, à ce stade, pas entrepris d’investigations aux fins de vérifier si le demandeur était atteint d’une maladie, alors que lui-même prétendait être victime d’un accident. c. Accompagnée notamment d’une copie du courrier précité du 12 octobre 2015 de la Dresse F______, la demande en paiement que le demandeur a déposée le</w:t>
      </w:r>
    </w:p>
    <w:p>
      <w:r>
        <w:rPr>
          <w:b/>
        </w:rPr>
        <w:t>E. 8</w:t>
      </w:r>
    </w:p>
    <w:p>
      <w:r>
        <w:t>décembre 2015 devant la chambre de céans contre la défenderesse – avant que l’assureur-accidents ne rende sa décision sur opposition (ce que celui-ci fera le</w:t>
      </w:r>
    </w:p>
    <w:p>
      <w:r>
        <w:rPr>
          <w:b/>
        </w:rPr>
        <w:t>E. 11</w:t>
      </w:r>
    </w:p>
    <w:p>
      <w:r>
        <w:t>octobre 2012 [LaCC - E 1 05]), donc en faveur de la défenderesse, ni, eu égard à l’issue du litige, en faveur du demandeur. * * * * * *</w:t>
      </w:r>
    </w:p>
    <w:p>
      <w:r>
        <w:t>A/4261/2015 - 23/23 -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