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ATAS/1053/2012 vom 28. August 2012</w:t>
      </w:r>
    </w:p>
    <w:p>
      <w:r>
        <w:t>GE Cour de justice, 2012-08-28, FR</w:t>
      </w:r>
    </w:p>
    <w:p>
      <w:r>
        <w:rPr>
          <w:b/>
        </w:rPr>
        <w:t xml:space="preserve">Quelle: </w:t>
      </w:r>
      <w:r>
        <w:t>https://mcp.opencaselaw.ch/entscheid/ge_gerichte_ATAS_1053_2012</w:t>
      </w:r>
    </w:p>
    <w:p>
      <w:r>
        <w:t>FR: GE_GERICHTE ATAS/1053/2012 du 28 août 2012</w:t>
      </w:r>
    </w:p>
    <w:p>
      <w:r>
        <w:t>IT: GE_GERICHTE ATAS/1053/2012 del 28 agosto 2012</w:t>
      </w:r>
    </w:p>
    <w:p>
      <w:pPr>
        <w:pStyle w:val="Heading2"/>
      </w:pPr>
      <w:r>
        <w:t>Erwägungen</w:t>
      </w:r>
    </w:p>
    <w:p>
      <w:r>
        <w:rPr>
          <w:b/>
        </w:rPr>
        <w:t>E. 9</w:t>
      </w:r>
    </w:p>
    <w:p>
      <w:r>
        <w:t>Par courrier du 2 août 2011, l'épouse de l'intéressé a déclaré que "concernant le bien immobilier que je possède en France et qui m'appartient en nom propre, je n'ai pas les moyens de payer un expert immobilier pour vous en fournir une estimation, qui à mon avis n'entre pas en ligne de compte pour vos calculs, puisque je le rappelle, Monsieur S_____________ et moi-même sommes mariés sous le régime de séparation de biens et vivons séparés de fait. Récemment, il a dû rendre la chambre qu'il occupait faute de pouvoir en assurer le loyer et vit partiellement dans sa caravane, et partiellement chez moi en attendant de trouver une solution. Un partage du "loyer" sans les charges représenterait environ 600 fr. mensuels".</w:t>
      </w:r>
    </w:p>
    <w:p>
      <w:r>
        <w:rPr>
          <w:b/>
        </w:rPr>
        <w:t>E. 10</w:t>
      </w:r>
    </w:p>
    <w:p>
      <w:r>
        <w:t>L'intéressé a formé opposition le 26 août 2011 à la décision du 26 juillet 2011, "postée en courrier A le 24 août 2011", et qui lui est parvenue le 25 août 2011. Il rappelle que "les documents demandés dans votre courrier du 26 avril 2011 ont été soit fournis, soit justifiés par motifs comme souhaité".</w:t>
      </w:r>
    </w:p>
    <w:p>
      <w:r>
        <w:rPr>
          <w:b/>
        </w:rPr>
        <w:t>E. 11</w:t>
      </w:r>
    </w:p>
    <w:p>
      <w:r>
        <w:t>Le 24 octobre 2011, l'intéressé a communiqué au SPC copie d'une demande en divorce déposée par son épouse (requête amiable en divorce) le 6 septembre 2011.</w:t>
      </w:r>
    </w:p>
    <w:p>
      <w:r>
        <w:rPr>
          <w:b/>
        </w:rPr>
        <w:t>E. 12</w:t>
      </w:r>
    </w:p>
    <w:p>
      <w:r>
        <w:t>Par décision du 18 novembre 2011, le SPC a rejeté l'opposition. Il relève que l'intéressé n'a produit aucun document officiel attestant de la valeur ou de la propriété du bien immobilier sis en France, et qu'il ne lui est dès lors pas possible de se déterminer quant à ce bien, lequel est présumé appartenir en copropriété aux deux époux selon l'art. 248 CC.</w:t>
      </w:r>
    </w:p>
    <w:p>
      <w:r>
        <w:rPr>
          <w:b/>
        </w:rPr>
        <w:t>E. 13</w:t>
      </w:r>
    </w:p>
    <w:p>
      <w:r>
        <w:t>L'intéressé a interjeté recours le 29 novembre 2011 contre ladite décision. Il ne comprend pas les motifs invoqués par le SPC pour refuser d'entrer en matière sur sa demande de prestations. Il relève en effet qu'à aucun moment, on ne lui a demandé de fournir la preuve que le bien immobilier ne lui appartenait pas. Il joint à son courrier copie de l'acte de vente, précisant à cet égard qu'il l'aurait fourni</w:t>
      </w:r>
    </w:p>
    <w:p>
      <w:r>
        <w:t>A/4040/2011 - 4/10 - auparavant si on le lui avait demandé. Il ressort de ce document, établi devant notaire le 29 juillet 2002, que l'acquéreur est son épouse.</w:t>
      </w:r>
    </w:p>
    <w:p>
      <w:r>
        <w:rPr>
          <w:b/>
        </w:rPr>
        <w:t>E. 14</w:t>
      </w:r>
    </w:p>
    <w:p>
      <w:r>
        <w:t>Dans sa réponse du 18 janvier 2012, le SPC a conclu au rejet du recours, constatant que l'intéressé n'avait toujours pas produit le document requis, à savoir l'estimation de la valeur vénale du bien immobilier en France, avec la précision de l'année de construction.</w:t>
      </w:r>
    </w:p>
    <w:p>
      <w:r>
        <w:rPr>
          <w:b/>
        </w:rPr>
        <w:t>E. 15</w:t>
      </w:r>
    </w:p>
    <w:p>
      <w:r>
        <w:t>La Cour de céans a ordonné la comparution personnelle des parties le 6 mars 2012. L'intéressé a précisé que son épouse avait acquis le bien immobilier en France grâce à son deuxième pilier et à un petit crédit qui était à son nom.</w:t>
      </w:r>
    </w:p>
    <w:p>
      <w:r>
        <w:rPr>
          <w:b/>
        </w:rPr>
        <w:t>E. 16</w:t>
      </w:r>
    </w:p>
    <w:p>
      <w:r>
        <w:t>Invité à se déterminer, le SPC a maintenu sa position quant à la nécessité de la pièce réclamée au recourant.</w:t>
      </w:r>
    </w:p>
    <w:p>
      <w:r>
        <w:rPr>
          <w:b/>
        </w:rPr>
        <w:t>E. 17</w:t>
      </w:r>
    </w:p>
    <w:p>
      <w:r>
        <w:t>Le 8 juin 2012, l'intéressé a demandé s'il devait fournir d'autres documents, ou s'il devait attendre une décision.</w:t>
      </w:r>
    </w:p>
    <w:p>
      <w:r>
        <w:rPr>
          <w:b/>
        </w:rPr>
        <w:t>E. 18</w:t>
      </w:r>
    </w:p>
    <w:p>
      <w:r>
        <w:t>Le 16 juillet 2012, sur demande de la Cour de céans, l'épouse de l'intéressé a versé au dossier la copie du certificat de la Caisse de pension ISS faisant mention du versement effectué pour l'acquisition du bien immobilier, la copie des documents du prêt et la copie de l'acte de vente complet muni du tampon de conservation des hypothèques.</w:t>
      </w:r>
    </w:p>
    <w:p>
      <w:r>
        <w:rPr>
          <w:b/>
        </w:rPr>
        <w:t>E. 19</w:t>
      </w:r>
    </w:p>
    <w:p>
      <w:r>
        <w:t>Ces pièces ont été transmises au SPC, lequel a maintenu la décision attaquée pour défaut de renseignements.</w:t>
      </w:r>
    </w:p>
    <w:p>
      <w:r>
        <w:rPr>
          <w:b/>
        </w:rPr>
        <w:t>E. 20</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En matière de prestations complémentaires fédérales, les décisions sur opposition sont sujettes à recours dans un délai de 30 jours (art. 56 al. 1 et 60 al. 1 LPGA;</w:t>
      </w:r>
    </w:p>
    <w:p>
      <w:r>
        <w:t>A/4040/2011 - 5/10 - cf. également art. 9 de la loi cantonale du 14 octobre 1965 sur les prestations fédérales complémentaires à l’assurance-vieillesse et survivants et à l’assurance- invalidité - LPFC ; J 7 10) auprès du tribunal des assurances du canton de domicile de l’assuré (art. 58 al. 1 LPGA). S’agissant des prestations complémentaires cantonales, l’art. 43 LPCC ouvre la même voie de droit. En l’espèce, le recours a été interjeté dans les forme et délai prévus par la loi, de sorte qu’il est recevable (art. 56 al. 1 et 60 LPGA). 3. Le litige porte sur le droit du SPC de refuser d'entrer en matière sur le droit de l'intéressé aux prestations complémentaires, au motif que celui-ci n'a produit "aucun document attestant de la valeur ou de la propriété d'un bien immobilier". 4. 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aLPC et art. 2c let. a aLPC). Aux termes de l'art. 3c al. 1 let. b aLPC (11 al. 1 let. b LPC), les revenus déterminants comprennent, entre autres éléments, le produit de la fortune immobilière. L'article 3c al. 1 let. c aLPC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3c al. 1 let. g aLPC (art.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w:t>
      </w:r>
    </w:p>
    <w:p>
      <w:r>
        <w:t>A/4040/2011 - 6/10 -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L’art. 17 OPC-AVS/AI pose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 5.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 6. En l'espèce, le SPC, considérant que le bien immobilier sis en France devait être pris en considération dans le calcul des prestations complémentaires dues à l'intéressé, a demandé à celui-ci quelle en était la valeur vénale, conformément aux dispositions légales susmentionnées. Il a en effet présumé, sur la base de l'art. 248 CC, que le bien immobilier était propriété des deux époux.</w:t>
      </w:r>
    </w:p>
    <w:p>
      <w:r>
        <w:t>A/4040/2011 - 7/10 - L'intéressé allègue toutefois que le bien en question ne lui appartient pas. Il produit à cet égard l'acte de vente y relatif et le contrat de séparation de biens conclu le 20 décembre 2001. Il s'agit dès lors de déterminer si l'intéressé est ou non propriétaire de ce bien immobilier. Ce n'est en effet que si tel est bien le cas que la valeur vénale devra être prise en compte dans le calcul des prestations complémentaires auxquelles il pourrait avoir droit. 7. Selon l'art. 248 CC, quiconque allègue qu'un bien appartient à l'un ou à l'autre des époux est tenu d'en établir la preuve (al. 1); à défaut de cette preuve, le bien est présumé appartenir en copropriété aux deux époux (al. 2). Cette disposition reprend mot pour mot l'art. 200 al. 1 et 2 CC.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l'art. 8 CC, s'applique entre les époux, entre un époux et les héritiers de l'autre, 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S'agissant en particulier des immeubles, les faits dont les inscriptions du registre foncier montrent l'existence bénéficient de la valeur probante accrue découlant de l'art. 9 CC (ATF 122 III 150 consid. 2b p. 155); il appartient à celui qui les conteste de démontrer leur inexactitude (PAUL-HENRI STEINAUER, Le titre préliminaire du Code civil in: Traité de droit privé suisse, vol. II/1, 2009, nos 747 ss). Le droit inscrit (c'est-à-dire la propriété de la personne inscrite) existe toutefois en vertu de la présomption de l'art. 937 al. 1 CC, qui est réfragable; il incombe dès lors à celui qui met en cause la propriété de la personne inscrite d'établir l'invalidité du titre d'acquisition (ATF 58 II 333). 8. Si l'intéressé et son épouse se sont mariés le 22 décembre 2001 à Genève, il appert toutefois des pièces figurant dans le dossier qu'ils ont adopté le régime de la séparation de biens, conformément aux art. 1536 à 1543 du Code civil français, devant notaire à Annemasse. Le régime matrimonial est régi par le droit choisi par les époux.</w:t>
      </w:r>
    </w:p>
    <w:p>
      <w:r>
        <w:t>A/4040/2011 - 8/10 - L'art. 53 de la loi fédérale sur le droit international privé du 18 décembre 1987 (LDIP ; RS 291) prévoit que "L’élection de droit doit faire l’objet d’une convention écrite ou ressortir d’une façon certaine des dispositions du contrat de mariage; en outre, elle est régie par le droit choisi. L’élection de droit peut être faite ou modifiée en tout temps. Si elle est postérieure à la célébration du mariage, elle rétroagit au jour du mariage, sauf convention contraire. Le droit choisi reste applicable tant que les époux n’ont pas modifié ou révoqué ce choix." L'appartenance d'un bien au mari ou à l'épouse se détermine d'après les règles de leur régime matrimonial (ATF 5C_163/1993 consid. 4), soit en l'espèce par les dispositions du droit français. C'est donc en vain que le SPC invoque à cet égard l'art. 248 CC, puisque la propriété de l'une ou l'autre des parties des biens doit être examinée d'après les règles du droit français (ATF 5C_72/06). 9. Selon l'art. 1536 du Code civil français, "lorsque les époux ont stipulé dans leur contrat de mariage qu'ils seraient séparés de biens, chacun d'eux conserve l'administration, la jouissance et la libre disposition de ses biens personnels. Chacun d'eux reste seul tenu des dettes nées en sa personne avant ou pendant le mariage, hors le cas de l'article 220". L'art. 1538 du Code civil français précise que "tant à l'égard de son conjoint que des tiers, un époux peut prouver par tous les moyens qu'il a la propriété exclusive d'un bien. Les présomptions de propriété énoncées au contrat de mariage ont effet à l'égard des tiers aussi bien que dans les rapports entre époux, s'il n'en a été autrement convenu. La preuve contraire sera de droit, et elle se fera par tous les moyens propres à établir que les biens n'appartiennent pas à l'époux que la présomption désigne, ou même, s'ils lui appartiennent, qu'il les a acquis par une libéralité de l'autre époux. Les biens sur lesquels aucun des époux ne peut justifier d'une propriété exclusive sont réputés leur appartenir indivisément, à chacun pour moitié". 10. Il résulte en l'espèce de l'acte de vente établi par Me François CONVERS, notaire à Reignier, Haute-Savoie, le 29 juillet 2002, que l'épouse de l'intéressé a fait seule l'acquisition d'un bien immobilier pour la somme de 84'000 euros. L'intéressé a expliqué que son épouse avait acquis ce bien grâce à son 2ème pilier et à ses propres</w:t>
      </w:r>
    </w:p>
    <w:p>
      <w:r>
        <w:t>A/4040/2011 - 9/10 - économies. Celle-ci a en effet retiré une partie de ses avoirs LPP, soit la somme de 120'000 fr. le 10 décembre 2002 dans le cadre de l'encouragement à la propriété du logement. L'épouse a confirmé, dans un courrier adressé au SPC le 2 août 2011, qu'elle en était l'unique propriétaire. Elle est inscrite au fichier immobilier sur les immeubles comme seule acquéreur de l'immeuble litigieux. A cet égard, le fait que l'intéressé aurait éventuellement contribué partiellement à l'acquisition du bien, ce qui n'est pas le cas selon ses déclarations, ne saurait infirmer la validité de ce titre. Il appartenait donc au SPC de prouver que ce bien immobilier français était également propriété de l'intéressé. Ce en quoi il a échoué. 11. Quoi qu'il en soit, même si l'art. 248 CC invoqué par le SPC s'appliquait au cas d'espèce, l'issue de la procédure serait la même, puisqu'il résulte, au vu de ce qui précède, que l'intéressé n'est pas propriétaire du bien immobilier. Le SPC n'était dès lors pas en droit d'exiger de lui qu'il produise un document attestant de sa valeur vénale. Il ne pouvait, partant, refuser d'entrer en matière sur sa demande de prestations. 12. Aussi le recours est-il admis et la cause renvoyée au SPC pour calcul des prestations dues à l'intéressé et nouvelle décision.</w:t>
      </w:r>
    </w:p>
    <w:p>
      <w:r>
        <w:t>A/4040/2011 - 10/10 - PAR CES MOTIFS, LA CHAMBRE DES ASSURANCES SOCIALES : Statuant A la forme : 1. Déclare le recours recevable. Au fond : 2. L'admet et annule la décision du 18 novembre 2011. 3. Renvoie la cause au SPC pour calcul des prestations dues à l'intéressé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