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ATAS/1052/2023 vom 22. Dezember 2023</w:t>
      </w:r>
    </w:p>
    <w:p>
      <w:r>
        <w:t>GE Cour de justice, 2023-12-22, FR</w:t>
      </w:r>
    </w:p>
    <w:p>
      <w:r>
        <w:rPr>
          <w:b/>
        </w:rPr>
        <w:t xml:space="preserve">Quelle: </w:t>
      </w:r>
      <w:r>
        <w:t>https://mcp.opencaselaw.ch/entscheid/ge_gerichte_ATAS_1052_2023</w:t>
      </w:r>
    </w:p>
    <w:p>
      <w:r>
        <w:t>FR: GE_GERICHTE ATAS/1052/2023 du 22 décembre 2023</w:t>
      </w:r>
    </w:p>
    <w:p>
      <w:r>
        <w:t>IT: GE_GERICHTE ATAS/1052/2023 del 22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l’assurance-invalidité du 19 juin 1959 (LAI - RS 831.20). Sa compétence pour juger du cas d’espèce est ainsi établie. 2. À teneur de l'art. 1 al. 1 LAI, les dispositions de la LPGA s'appliquent à l'assurance-invalidité (ci-après : AI), à moins que la loi n'y déroge expressément.</w:t>
      </w:r>
    </w:p>
    <w:p>
      <w:r>
        <w:t>A/36/2023 - 14/32 - 3. Le 1er janvier 2021 est entrée en vigueur la modification du 21 juin 2019 de la LPGA. Dans la mesure où le recours a été interjeté postérieurement au 1er janvier 2021, il est soumis au nouveau droit (cf. art. 82a LPGA a contrario). 4. 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règlement sur l’assurance-invalidité du 17 janvier 1961 (RAI - RS 831.201)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w:t>
      </w:r>
    </w:p>
    <w:p>
      <w:r>
        <w:rPr>
          <w:b/>
        </w:rPr>
        <w:t>E. 11</w:t>
      </w:r>
    </w:p>
    <w:p>
      <w:r>
        <w:t>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précité consid. 2.2.2). En l’occurrence, la décision litigieuse a été rendue après le 1er janvier 2022. Toutefois, l’éventuelle modification de circonstances litigieuses invoquée par la recourante à l’appui de sa nouvelle demande est supposée remonter à avant cette date. Par conséquent, les dispositions applicables seront citées dans leur teneur en vigueur jusqu’au 31 décembre 2021. 5. Interjeté dans les forme et délai prévus par la loi, le recours est recevable (art. 56ss LPGA ; art. 62 al. 1 de la loi sur la procédure administrative du</w:t>
      </w:r>
    </w:p>
    <w:p>
      <w:r>
        <w:rPr>
          <w:b/>
        </w:rPr>
        <w:t>E. 11.1</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w:t>
      </w:r>
    </w:p>
    <w:p>
      <w:r>
        <w:t>A/36/2023 - 23/32 -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11.3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ATF 137 V 210 consid. 6 ; arrêts du Tribunal fédéral 9C_808/2019 du 18 août 2020 consid. 5.2. et 9C_109/2018 du 15 juin 2018 consid. 5.1).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w:t>
      </w:r>
    </w:p>
    <w:p>
      <w:r>
        <w:t>A/36/2023 - 24/32 -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12.</w:t>
      </w:r>
    </w:p>
    <w:p>
      <w:r>
        <w:rPr>
          <w:b/>
        </w:rPr>
        <w:t>E. 12</w:t>
      </w:r>
    </w:p>
    <w:p>
      <w:r>
        <w:t>septembre 1985 [LPA - E 5 10]). 6. Le litige porte sur le bien-fondé de la décision de l’intimé du 17 novembre 2022 de rejeter la nouvelle demande de prestations de la recourante. En d’autres termes,</w:t>
      </w:r>
    </w:p>
    <w:p>
      <w:r>
        <w:t>A/36/2023 - 15/32 - il convient de vérifier si, comme le retient l’intimé, l’état de santé de l’assurée ne s’est pas aggravé au point de lui ouvrir droit à des prestations depuis la décision initiale du 23 octobre 2008. 7.</w:t>
      </w:r>
    </w:p>
    <w:p>
      <w:r>
        <w:t>7.1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7.2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7.3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7.4 Le point de savoir si un changement notable des circonstances s’est produit doit être tranché en comparant les faits tels qu’ils se présentaient au moment de la dernière révision de la rente entrée en force – en l’occurrence le 23 octobre 2008 et les circonstances qui régnaient à l’époque de la décision litigieuse – du</w:t>
      </w:r>
    </w:p>
    <w:p>
      <w:r>
        <w:rPr>
          <w:b/>
        </w:rPr>
        <w:t>E. 12.1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12.2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12.3</w:t>
      </w:r>
    </w:p>
    <w:p>
      <w:r>
        <w:t>Conformément au principe inquisitoire qui régit la procédure dans le domaine des assurances sociales, le juge des assurances sociales doit procéder à des investigations supplémentaires ou en ordonner lorsqu'il y a suffisamment de</w:t>
      </w:r>
    </w:p>
    <w:p>
      <w:r>
        <w:t>A/36/2023 - 25/32 -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s’il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13.</w:t>
      </w:r>
    </w:p>
    <w:p>
      <w:r>
        <w:t>13.1 En l’espèce, l’intimé, suivant en cela l’avis des experts et les conclusions de l’enquête ménagère considère que l’état de santé de l’assurée ne l’empêche d’assumer ses tâches habituelles qu’à hauteur de 29.60% compte tenu d’une aide exigible de son mari et de son fils qui partagent son logement. 13.2 La recourante le conteste. Elle critique les conclusions tant de l’expertise que de l’enquête ménagère et l’aide exigible retenue pour ses proches et considère que c’est un quart de rente au moins qui devrait lui être alloué. 13.3 Il convient tout d’abord de rappeler quel était l’état de santé de la recourante en 2008, date à laquelle a été rendue la décision initiale de refus de prestation. À l’époque, les diagnostics étaient sensiblement les mêmes : des troubles dégénératifs, d’une part, et un syndrome douloureux somatoforme, d’autre part. Les experts de la CRR avaient alors conclu à la présence de lombalgies et de cervicalgies liées à des atteintes dégénératives rachidiennes lombaires et cervicales, responsables de limitations fonctionnelles, mais n’interdisant pas l’exercice, à plein temps, d’une activité adaptée. Sur le plan psychiatrique, chez cette assurée décrite comme extrêmement plaintive, le diagnostic de syndrome douloureux somatoforme persistant a été retenu, mais sans incidence sur la capacité de travail. Avaient alors déjà été relevés de nombreux signes de non- organicité et des traits de personnalité histrioniques. Les troubles psychiques ont été qualifiés de non invalidants. Au terme de la nouvelle expertise effectuée à la demande de la Cour de céans, les experts de la CRR sont parvenus, en substance, aux mêmes conclusions. Les diagnostics suivants ont été retenus : troubles dégénératifs rachidiens avec discopathies cervicales et lombaires, hernie discale C5-C6 paramédiane gauche et</w:t>
      </w:r>
    </w:p>
    <w:p>
      <w:r>
        <w:t>A/36/2023 - 26/32 - canal étroit léger en L4-L5 sans répercussion radiculaire. Ont également été mentionnés, en précisant qu’ils étaient sans répercussion sur la capacité de travail : un syndrome douloureux somatoforme persistant, un syndrome de dépendance aux psychotropes (benzodiazépines) et un trouble dissociatif mixte probable. Cette nouvelle expertise a donc abouti à un constat similaire à celui de l’expertise antérieure : sur le plan somatique, les diagnostics sont restés inchangés et les limitations fonctionnelles (nécessité de varier les positions, absence de travail lourd ou de port de charges supérieures à 5kg), déjà retenues en 2008, restent les mêmes. La question de l’authenticité de l’atteinte du champ visuel, comme celle d’une atteinte neuropsychologique, n’ont pu être confirmées, ce que les experts n’ont pas trouvé surprenant, en l’absence de traumatisme crânien dûment documenté. L’aggravation d’une dépression n’a pas non plus été confirmée. Sur le plan psychiatrique, aucun diagnostic incapacitant n’a été retenu. La recourante reproche à l’expertise de tenir compte d’une incohérence dont elle estime qu’elle fait partie de son problème de santé, à savoir le trouble somatoforme douloureux persistant. Elle soutient qu’elle ne dispose pas de ressources suffisantes. Elle reproche à l’expert d’avoir écarté le diagnostic d’épisode dépressif sans véritablement expliquer pour quelles raisons. Enfin, elle considère que l’indicateur relatif à la résistance aux traitements est rempli, puisqu’elle prend du Cymbalta depuis des années, sans bénéfice majeur. La recourante contestant les conclusions des experts, il convient d’examiner quelle valeur probante doit leur être accordée. Sur le plan formel, on relèvera que le rapport d’expertise remplit tous les réquisits jurisprudentiels pour se voir reconnaître une pleine valeur probante. Quant à son contenu, il en va de même, comme cela ressort de ce qui suit. En effet, les experts, contrairement à ce qu’allègue la recourante, ont expliqué de manière convaincante et détaillée les conclusions retenues. En l’absence évidente d’aggravation sur le plan somatique, les experts ont expliqué s’être focalisés plus particulièrement sur les aspects ophtalmologiques, neuropsychologiques et psychiatriques. Ils expliquent avoir trouvé une assurée très semblable à la description faite dans les rapports de 2008 : elle fait son âge, mais est déconditionnée et se comporte en invalide. Les experts soulignent avoir tous été frappés par son caractère plaintif, démonstratif, sa collaboration médiocre, ses réponses laconiques aux questions et une attitude parasitant les examens cliniques, en particulier neurologiques. Les plaintes mises en avant pour expliquer l’incapacité à la moindre tâche, y compris à son domicile, restent principalement les lombalgies et les cervicalgies. S’y associent aussi une intolérance à la lumière, des troubles de l’équilibre et des nucalgies. Toutes ces plaintes sont reliées par l’assurée à sa chute, en 2004.</w:t>
      </w:r>
    </w:p>
    <w:p>
      <w:r>
        <w:t>A/36/2023 - 27/32 - Cependant, une IRM cérébrale pratiquée en octobre 2004 n’a révélé aucune particularité. Les experts soulignent que rien n’indique qu’il y ait réellement eu traumatisme du crâne. La prise en charge psychiatrique immédiate de l’assurée (deux jours plus tard), indique qu’elle n’a pas été prise en charge par les urgences des Hôpitaux universitaires de Genève (ci-après : HUG), comme le serait une victime d’un traumatisme crânien authentique. Dès lors, les experts s’expliquent mal quel traumatisme pourrait avoir eu de telles conséquences ophtalmologiques et neuropsychologiques. Sur le plan neurologique, l’imagerie a confirmé à plusieurs reprises l’existence de troubles dégénératifs et la présence d’une hernie discale, mais aucune anomalie centrale n’a jamais été mise en évidence. L’examen clinique neurologique est normal. L’électroneuromyograme (ENMG) n’a mis en évidence aucun signe de dénervation au niveau cervical ou lombaire. Comme l’a dit le docteur ROSSI, orthopédiste, en septembre 2014, la situation est restée strictement inchangée. Les cervicalgies et lombosciatalgies sont susceptibles d’entraîner quelques limitations fonctionnelles, mais permettent, dans une activité les respectant, une capacité de travail entière. Sur le plan neuropsychologique, l’hypothèse d’un déficit à l’origine des difficultés d’examen du champ visuel a été évoquée, mais il est impossible d’en définir la mesure exacte. Les performances sont effondrées dans tous les domaines. Ces performances ne sont pas valides en fonction des incohérences à la fois intra-test et inter-test et entre le comportement et les performances mesurées (les réponses de l’assurée ont parfois même été erronées au-delà de celles que produirait le hasard). L’expertise ophtalmologique s’accorde avec les conclusions de la précédente. Les plaintes sont dues pour une large part à l’œil sec, dont le traitement médical est adéquat. L’hypermétropie et un astigmatisme fort, ainsi qu’une presbytie sont confirmés, mais l’assurée ne porte pas de verres correcteurs parce qu’elle les a cassés. Elle ne porte que des lunettes teintées en raison de sa photophobie. Le champ visuel est, en apparence, diminué de manière concentrique et l’acuité visuelle abaissée, depuis les années 2007 et non depuis l’accident. L’examen objectif des yeux, des cornées, des cristallins et des fonds d’œil ne permet pas d’expliquer ces faits. La perturbation du champ visuel qui aurait été causée par une chute ne serait pas de la nature de celle « observée ». En d’autres termes, l’expertise ophtalmologique n’a permis de trouver aucun substrat somatique. Sur le plan psychiatrique, la collaboration de l’assurée s’est une fois encore révélée aléatoire : recueillir l’anamnèse a été laborieux en raison des réponses laconiques. L’assurée ne décrit pas de collaboration aux tâches ménagères, mais effectue des promenades régulières, au moins quotidiennes. Son cercle relationnel est certes réduit à sa famille, mais elle bénéficie du soutien de sa sœur, de ses enfants et de son mari qui l’accompagnent dans ses promenades, le matin comme l’après-midi. Les experts neuropsychologue et psychiatre n’ont observé aucune</w:t>
      </w:r>
    </w:p>
    <w:p>
      <w:r>
        <w:t>A/36/2023 - 28/32 - altération significative des fonctions supérieures, bien que le comportement de l’assurée puisse donner le change. Ils ont souligné que l’hypothèse d’un syndrome de stress post-traumatique n’est pas compatible avec les circonstances mêmes de l’accident, qui ne peut en aucun cas être considéré « exceptionnellement menaçant ou catastrophique ». D’ailleurs, ils n’ont relevé aucun phénomène intrusif de reviviscences ou de cauchemars caractéristiques d’un tel syndrome. Les signes d’une dépression, s’ils ont pu être présents, ne sont pas suffisants pour retenir un état dépressif constitué. À cet égard, les experts ont expliqué que l’assurée est perçue comme euthymique. Aucun des critères pour qualifier un épisode dépressif n’a pu être retenu. Les plaintes somatiques multiples – dont seules les lombalgies et les cervicalgies peuvent correspondre à un substrat organique – les ont à nouveau conduits à retenir le diagnostic de syndrome douloureux somatoforme. Les experts ont reconnu que l’examen des indicateurs selon la jurisprudence était difficile, mais souligné que c’était en raison du manque de collaboration de l’assurée. Des incohérences ont été perçues à l’examen clinique, entre les plaintes et l’observation de la gestuelle de l’assurée. Si la présence des limitations fonctionnelles est décrite dans la vie quotidienne, il est difficile de la confirmer par le simple recueil de l’anamnèse. Elle n’empêche pas l’assurée d’effectuer des promenades quotidiennes ou biquotidiennes. Cela n’est pas cohérent avec la présentation de l’assurée lors des examens. Les réponses négatives à certains tests de l’examen neuropsychologique l’ont été au-delà du hasard. L’assurée a aussi déclaré avoir débuté un suivi chez un nouveau psychiatre traitant, qui l’a démentie en expliquant que ce suivi n’était que prévu. Ce sont tous ces éléments qui ont poussé les experts à retenir les facteurs d’exclusion plutôt que les facteurs de gravité. À cet égard, on constatera que les phénomènes de majoration évidente des symptômes relevés par les experts l’avaient déjà été par leurs collègues de la CRR en 2008, ce qui corrobore leurs constatations. L’expert psychiatre a expressément indiqué que s’il ne retenait pas de signes de sévérité suffisants pour conclure à un état dépressif constitué, c’est parce que les symptômes annoncés étaient étroitement liés au vécu des douleurs. Celles-ci ne trouvant pas d’explications suffisantes dans une étiologie somatique, il privilégiait le diagnostic de syndrome douloureux somatoforme, dont il qualifiait le degré de sévérité de modeste et comparable à celui déjà observé et décrit par le passé. Les mêmes phénomènes sont d’ailleurs rapportés par tous les experts, en particulier le neuropsychologue, qui a décrit l’assurée comme plaintive, avec une collaboration passive et médiocre. Ce praticien, s’il a noté des performances cognitives globalement effondrées dans tous les domaines investigués, a souligné que ce profil cognitif ne pouvait être considéré comme valide, car grevé de nombreuses incohérences entre les tests, à l’intérieur des tests, entre le</w:t>
      </w:r>
    </w:p>
    <w:p>
      <w:r>
        <w:t>A/36/2023 - 29/32 - comportement et les performances mesurées, et entre l’absence d’atteintes neurologiques et les résultats effondrés. Ainsi a-t-il relevé : - des temps de réaction très ralentis en l’absence de ralentissement lors de l’entretien ; - des tests de reconnaissance en choix forcé en mémoire généralement réussis facilement chez les sujets contrôles sans atteintes cérébrales ou très peu altérés chez les patients cérébro-lésés donnant lieu, chez l’assurée, à des performances au niveau du hasard, voire en-dessous du niveau du hasard ; - des erreurs à l’écriture atypique et corrigeables sur incitation ; - la reproduction immédiate de séries automatiques ne requérant pas d’activités cognitives élaborées qui échouent ; - des performances abaissées dans le domaine practo-gnosique atypique en l’absence d’atteintes neurologiques et ne pouvant être expliquées par une éventuelle humeur abaissée ; - un profil effondré sur le plan exécutif incompatible avec le comportement lors de l’entretien et le discours, bien structuré. Pour toutes ces raisons, il lui était impossible de retenir des limitations fonctionnelles sur le plan neuropsychologique : les performances mesurées reflétaient un manque d’efforts dans les tâches et non le réel potentiel cognitif de l’assurée. C’est le lieu de rappeler que le Tribunal fédéral a maintenu, voire renforcé la portée des motifs d'exclusion définis dans l'ATF 131 V 49, aux termes desquels il y a lieu de conclure à l'absence d'atteinte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En l’état, force est de constater que l’on ne saurait ainsi retenir l’existence d’une atteinte à la santé importante et pertinente, c'est-à-dire qui résiste aux motifs dits d'exclusion tels qu'une exagération ou d'autres manifestations d'un profit secondaire tiré de la maladie au sens de la jurisprudence. Les conclusions des experts doivent se voir reconnaître pleine valeur probante et les griefs formulés par la recourante sont donc écartés.</w:t>
      </w:r>
    </w:p>
    <w:p>
      <w:r>
        <w:t>A/36/2023 - 30/32 - 13.4 Reste à examiner, s’agissant d’une assurée inactive, les conclusions et la force probante de l’enquête sur le ménage. En premier lieu, la recourante, rappelant qu’en matière de troubles psychiques, les observations médicales l’emportent sur l’enquête à domicile, soutient que, puisque l’expert ne s’est pas déterminé sur les limitations dans la sphère ménagère, le rapport d’enquête ménagère serait clairement faussé. C’est faire fi du fait que les experts ont clairement écarté tout caractère invalidant aux atteintes psychiques de la recourante. Dès lors, il n’est pas déterminant qu’ils ne se soient pas prononcés précisément sur les empêchements rencontrés dans le ménage. En second lieu, s’agissant de l’enquête, la recourante conteste avant tout le pourcentage d’aide exigible retenu s’agissant de ses proches, plus particulièrement son fils adulte et son mari. Ce taux a été fixé à 26.60%. En ce qui concerne l'incapacité d'accomplir les travaux habituels, l'enquête ménagère effectuée au domicile de l'assuré selon les critères posés par l'Office fédéral des assurances sociales (OFAS)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Tel est le cas en l’occurrence, contrairement à l’arrêt auquel se réfère la recourante (9C 183/2008 du 18 mars 2009) et dont elle ne peut dès lors tirer argument en sa faveur). Tous les postes ont été examinés et décrits par l’enquêtrice attentivement s’agissant de l’assurée. Quant à l’aide attendue de ses proches, comme rappelé supra, il existe en matière d’assurances sociales un principe général selon lequel l'assuré qui demande des prestations doit d'abord entreprendre tout ce que l'on peut raisonnablement attendre de lui pour atténuer les conséquences de son invalidité. Cela se traduit, s’agissant d'une personne rencontrant des difficultés à accomplir ses travaux ménagers, par l'obligation d'organiser son travail, mais aussi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w:t>
      </w:r>
    </w:p>
    <w:p>
      <w:r>
        <w:t>A/36/2023 - 31/32 - qui encourent de ce fait une perte de gain démontrée ou subissent une charge excessive. Tel n’est pas le cas en l’occurrence étant rappelé que l'aide apportée par les membres de la famille à prendre en considération va plus loin que celle à laquelle on peut s'attendre sans atteinte à la santé et qu’il s'agit en particulier de se demander comment se comporterait une famille raisonnable, si aucune prestation d'assurance ne devait être octroyée. La jurisprudence ne pose pas de grandeur limite au-delà de laquelle l'aide des membres de la famille ne serait plus possible. En l’occurrence, attendre une aide inférieure à un tiers de deux adultes – auxquels se sont qui plus est ajoutées deux adolescentes depuis juin 2015 -, même si ceux-ci exercent un travail à plein temps, ne paraît ni excessif ni disproportionné. Dans de nombreux foyers, tous les membres adultes exercent une activité à temps plein sans pour autant déléguer la tenue du ménage à des tiers. Qui plus est, contrairement à ce que soutient la recourante et comme rappelé supra, la jurisprudence ne répercute pas sur un membre de la famille l'accomplissement de certaines activités ménagères, avec la conséquence qu'il faudrait se demander pour chaque empêchement si cette personne entre effectivement en ligne de compte pour l'exécuter en remplacement. Au contraire, la possibilité pour la personne assurée d'obtenir concrètement de l'aide de la part d'un tiers n'est pas décisive dans le cadre de l'évaluation de son obligation de réduire le dommage. Il résulte des considérations qui précèdent que les griefs de la recourante envers l’enquête ménagère sont infondés. C’est donc à juste titre que l’intimé, se fondant sur les résultats de ladite enquête, lui a nié le droit à toute prestation faute d’empêchement suffisant. 14. Au vu de ce qui précède, le recours est rejeté. Au vu du sort du recours, il y a lieu de condamner la recourante au paiement d'un émolument de CHF 500.- (art. 69 al. 1bis LAI).</w:t>
      </w:r>
    </w:p>
    <w:p>
      <w:r>
        <w:t>A/36/2023 - 32/32 - PAR CES MOTIFS, LA CHAMBRE DES ASSURANCES SOCIALES : Statuant À la forme :</w:t>
      </w:r>
    </w:p>
    <w:p>
      <w:r>
        <w:rPr>
          <w:b/>
        </w:rPr>
        <w:t>E. 17</w:t>
      </w:r>
    </w:p>
    <w:p>
      <w:r>
        <w:t>novembre 2022.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w:t>
      </w:r>
    </w:p>
    <w:p>
      <w:r>
        <w:t>A/36/2023 - 16/32 - d’invalidité lors d’une nouvelle révision de la rente (ATF 133 V 108 consid. 5.4 ; ATF 130 V 343 consid. 3.5.2). 8. Se pose en premier lieu la question du statut à accorder à l’assurée, celle-ci affirmant que, si sa santé le lui avait permis, elle aurait travaillé à plein temps, alors que l’intimé la considère comme non active. 8.1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8.2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ATF 141 V 15 consid. 3.1 ; ATF 137 V 334 consid. 3.2 ; ATF 125 V 146 consid. 2c ainsi que les références). 8.3 En l’espèce, l’intimé fonde sa position sur le fait que, depuis son arrivée en Suisse, en 2002, la recourante n’a jamais exercé la moindre activité lucrative. L’intéressée allègue pour sa part qu’en bonne santé, elle aurait exercé à plein l’activité d’auxiliaire de santé dans laquelle elle avait commencé à se former et</w:t>
      </w:r>
    </w:p>
    <w:p>
      <w:r>
        <w:t>A/36/2023 - 17/32 - que si elle n’a pas mené ses projets à bien, c’est en raison uniquement de l’accident survenu en mars 2004. S’agissant de la période antérieure, elle fait remarquer que son statut ne lui permettait pas de travailler en Suisse. Il est vrai que lors de l’enquête ménagère et à plusieurs de ses médecins, la recourante a affirmé la même chose. Cela étant, il n’en demeure pas moins qu’en 2008, l’OAI a constaté qu’elle disposait d’une capacité de travail pleine et entière et que jamais, depuis l’accident, l’assurée n’a tenté de reprendre la moindre formation ou activité, alors même qu’une expertise était parvenue à la conclusion qu’il n’y avait aucune atteinte à la santé invalidante. Dans ces conditions, ses déclarations ne peuvent être considérées que comme de simples déclarations d’intention, non suivies d’actes concrets et donc non crédibles. C’est dès lors à juste titre que l’intimé lui a reconnu un statut de ménagère, d’autant que la situation du couple ne paraît pas obérée sur le plan financier. On rappellera encore à cet égard que, contrairement à ce qu’allègue la recourante, l’intimé ne lui a pas, par le passé reconnu un statut d’active. Et quand bien même, cela n’augurerait en rien de la décision finale de l’intimé, étant rappelé que la question du statut à reconnaître à un assuré s’examine tant lors de l'examen initial du droit aux prestations qu'à l'occasion d'une révision de celle-ci. Ce grief doit donc être écarté. Le statut de l’assurée est bel et bien celui d’une personne inactive. 9.</w:t>
      </w:r>
    </w:p>
    <w:p>
      <w:r>
        <w:t>9.1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9.2 L’assuré a droit à une rente entière s’il est invalide à 70% au moins, à un trois quarts de rente s'il est invalide à 60 % au moins, à une demi-rente s’il est invalide à 50% au moins, ou à un quart de rente s’il est invalide à 40% au moins (art. 28 al. 2 LAI). 9.3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A/36/2023 - 18/32 -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9.4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9.5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w:t>
      </w:r>
    </w:p>
    <w:p>
      <w:r>
        <w:t>A/36/2023 - 19/32 -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Le Tribunal fédéral a récemment confirmé qu'il n'y a pas de motif de revenir sur le principe de l'obligation de diminuer le dommage tel que dégagé par la jurisprudence (arrêt du Tribunal fédéral 9C_248/2022 du 25 avril 2023 consid. 5.3 et les références). 9.6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w:t>
      </w:r>
    </w:p>
    <w:p>
      <w:r>
        <w:t>A/36/2023 - 20/32 - activités habituelles (VSI 2004 p. 136 consid. 5.3 et VSI 2001 p. 158 consid. 3c ; arrêts du Tribunal fédéral des assurances I 308/04 et I 309/04 du 14 janvier 2005). 9.7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 10.</w:t>
      </w:r>
    </w:p>
    <w:p>
      <w:r>
        <w:t>10.1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w:t>
      </w:r>
    </w:p>
    <w:p>
      <w:r>
        <w:rPr>
          <w:b/>
        </w:rPr>
        <w:t>E. 19</w:t>
      </w:r>
    </w:p>
    <w:p>
      <w:r>
        <w:t>janvier 2006 consid. 3.1). 10.2 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Statistical Manual) (ATF 143 V 409 consid. 4.5.2 ; ATF 141 V 281 consid. 2.1 et 2.1.1 ; ATF 130 V 396 consid. 5.3 et 6). 10.3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w:t>
      </w:r>
    </w:p>
    <w:p>
      <w:r>
        <w:t>A/36/2023 - 21/32 - conduit dans les règles de l'art (ATF 143 V 409 consid. 4.4 ; arrêt du Tribunal fédéral 9C_369/2019 du 17 mars 2020 consid. 3 et les références). 10.4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10.5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 10.6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 10.7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w:t>
      </w:r>
    </w:p>
    <w:p>
      <w:r>
        <w:t>A/36/2023 - 22/32 -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