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ATAS/1052/2019 vom 13. November 2019</w:t>
      </w:r>
    </w:p>
    <w:p>
      <w:r>
        <w:t>GE Cour de justice, 2019-11-13, FR</w:t>
      </w:r>
    </w:p>
    <w:p>
      <w:r>
        <w:rPr>
          <w:b/>
        </w:rPr>
        <w:t xml:space="preserve">Quelle: </w:t>
      </w:r>
      <w:r>
        <w:t>https://mcp.opencaselaw.ch/entscheid/ge_gerichte_ATAS_1052_2019</w:t>
      </w:r>
    </w:p>
    <w:p>
      <w:r>
        <w:t>FR: GE_GERICHTE ATAS/1052/2019 du 13 novembre 2019</w:t>
      </w:r>
    </w:p>
    <w:p>
      <w:r>
        <w:t>IT: GE_GERICHTE ATAS/1052/2019 del 13 novembre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compte tenu de la suspension des délais du 15 juillet au 15 août inclusivement, le recours est recevable (art. 38 al.</w:t>
      </w:r>
    </w:p>
    <w:p>
      <w:r>
        <w:rPr>
          <w:b/>
        </w:rPr>
        <w:t>E. 4</w:t>
      </w:r>
    </w:p>
    <w:p>
      <w:r>
        <w:t>L’objet du litige dans la procédure administrative subséquente est le rapport juridique qui – dans le cadre de l’objet de la contestation déterminé par la décision</w:t>
      </w:r>
    </w:p>
    <w:p>
      <w:r>
        <w:t>A/3127/2018 - 11/20 -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414 consid. 1b et 2 et les références citées). En l’espèce, la décision sur opposition du 11 juillet 2018, qui confirme une décision antérieure datée du 7 février 2018, accorde à l’assuré une indemnité pour atteinte à l’intégrité de 10% et une rente d’invalidité (LAA) de 13%, dès le 1er septembre 2017. Elle met par ailleurs fin au versement des indemnités journalières avec effet au 31 août 2017. Le recourant, qui se limite à contester le taux de la rente qui lui a été accordée, ne remet en question ni le taux de l’indemnité pour atteinte à l’intégrité, ni la fin de son droit à des indemnités journalières. Partant, le litige ne porte que sur l’évaluation de son degré d’invalidité.</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w:t>
      </w:r>
    </w:p>
    <w:p>
      <w:r>
        <w:t>A/3127/2018 - 12/20 - 2b).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Selon la jurisprudence, la détermination du revenu sans invalidité d’un indépendant peut en principe se fonder sur celui qui est inscrit sur son compte individuel AVS (arrêts du Tribunal fédéral 8C_443/2018 du 30 janvier 2019 consid. 2.1 ; 9C_8/2012 du</w:t>
      </w:r>
    </w:p>
    <w:p>
      <w:r>
        <w:rPr>
          <w:b/>
        </w:rPr>
        <w:t>E. 12</w:t>
      </w:r>
    </w:p>
    <w:p>
      <w:r>
        <w:t>Il convient encore de se prononcer sur le sort des frais de traduction du rapport d’analyse économique du 7 juin 2017. Selon l’art. 45 al. 1 LPGA, les frais de l'instruction sont pris en charge par l'assureur qui a ordonné les mesures. À défaut, l'assureur rembourse les frais occasionnés par les mesures indispensables à l'appréciation du cas ou comprises dans les prestations accordées ultérieurement. Le principe de la territorialité des langues a pour conséquence que les parties doivent s'adresser aux autorités judiciaires cantonales dans la langue officielle du canton (ATF 108 V 208; RDAT 1993 II no 78 p. 215; Marco BORGHI, Langues nationales et langues officielles, in : Daniel THÜRER/Jean-François Champs d'activités sans atteinte à la santé Pondération sans handicap (en %) Heures de travail par semaine (sans handicap) Pondération exigible avec handicap (en %) Heures de travail par semaine (avec handicap) Incapacité de travail dans le champ d'activité (en %) Invalidité</w:t>
      </w:r>
    </w:p>
    <w:p>
      <w:r>
        <w:t>(en %) Gestion des trois restaurants 30% 12.6h 30%</w:t>
      </w:r>
    </w:p>
    <w:p>
      <w:r>
        <w:rPr>
          <w:b/>
        </w:rPr>
        <w:t>E. 12.6</w:t>
      </w:r>
    </w:p>
    <w:p>
      <w:r>
        <w:t>h 0% 0% Cuisine / service 20% 8.4h 0% 0 h 100% 20% Commissions 50% 21h 50% 21h 30% 15% Total 100% 42h 33.6h</w:t>
      </w:r>
    </w:p>
    <w:p>
      <w:r>
        <w:t>35%</w:t>
      </w:r>
    </w:p>
    <w:p>
      <w:r>
        <w:t>A/3127/2018 - 18/20 - AUBERT/Jörg-Paul MÜLLER [éd. ], Droit constitutionnel suisse, Zurich 2001, § 37 ch. 39; en ce qui concerne la procédure administrative dans le domaine de l'assurance-invalidité : Stéphane BLANC, La procédure administrative en assurance-invalidité, thèse Fribourg, 1999, p. 125 s). Dans le canton de Genève,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 SJ 1982 p. 50). Une expertise ordonnée par l’assureur comme moyen probatoire a une importance telle que l'assuré a dans tous les cas le droit d'en recevoir une copie et d'exprimer son opinion sur la façon dont elle a été conduite et sur les faits et conclusions établis. Il s'agit d'une pièce essentielle du dossier, qui est de nature à sceller le sort de la procédure (ATF 128 V 38 consid. 2b/bb, 127 V 223 consid. 1b; BLANC, idem, p. 143). Par ailleurs, l'art. 70 al. 1 Cst. règle la question des langues officielles, c'est-à-dire des langues qui sont utilisées dans les relations - au moins de droit public - entre les autorités étatiques et les particuliers. Concrètement, les particuliers ont le droit, dans leurs relations avec l'État fédéral, de recevoir une réponse dans la langue qu'ils ont utilisée. À cet égard, le Tribunal fédéral a eu l'occasion de préciser que lorsqu'une procédure oppose un justiciable à une autorité fédérale, on peut exiger de cette dernière qu'elle utilise la langue de la procédure (ATF 130 I 234 consid. 3.5 ; voir aussi Peter UEBERSAX, in NIGGLI/UEBERSAX/WIPRÄCHTIGER [éd.], Basler Kommentar zum Bundesgerichtsgesetz, 2ème éd., 2011, n° 20 ad art. 54 BGG). Il n'en va pas autrement lorsqu'un office fédéral - sans être partie à la procédure - est appelé à fournir un préavis, que ce soit en sa qualité d'autorité de surveillance de l'autorité administrative impliquée ou en sa qualité d'autorité invitée à fournir des renseignements au Tribunal fédéral. Le respect des différences linguistiques et culturelles commande qu'il s'exprime dans la langue de la procédure ou du moins dans la langue des parties. Cette réglementation vaut aussi pour les organismes ou institutions à caractère national chargés par le droit fédéral de l'exécution de tâches de droit public (par exemple la Caisse nationale suisse d'assurance en cas d'accidents [CNA]) ou les autres assureurs admis à pratiquer l'assurance-accidents obligatoire (JEAN-MAURICE FRÉSARD, in Commentaire de la LTF, 2ème éd., 2014, n° 11s. ad art. 54 LTF). En l’occurrence, l’assuré étant domicilié à Genève et la langue de la procédure étant le français, on pouvait exiger de l’intimée, en application des principes exposés ci-dessus, qu'elle fasse traduire l’intégralité du rapport d’analyse économique rédigé par son consultant, comme l'avait requis le recourant. Il s’agissait d’une pièce essentielle de dossier, sur laquelle l’intimée s’était fondée pour quantifier le taux d’invalidité. L’intimée ne pouvait valablement décliner cette demande sous prétexte que le mandataire du recourant comprenait l’allemand, dès lors que l’on ne</w:t>
      </w:r>
    </w:p>
    <w:p>
      <w:r>
        <w:t>A/3127/2018 - 19/20 - saurait exiger d’un avocat qu’il établisse à l’intention de son client une traduction littérale d’un rapport d’analyse économique. De surcroît, le Tribunal fédéral a précisé qu’une partie n'abusait pas de son droit lorsqu’elle demandait la traduction de pièces rédigées dans une langue qu'elle connaissait parfaitement (arrêt du Tribunal fédéral des assurances I 321/01 du 27 février 2002 consid. 2 et les références). L’intimée ayant opposé à la demande de traduction un refus catégorique, tant au stade de la procédure administrative que de la procédure judiciaire, la juridiction de céans a dû faire traduire le rapport en question par un traducteur-juré afin de trancher la cause et de permettre au recourant de faire valoir son droit d’être entendu. Dans ce contexte, il se justifie de mettre les frais de traduction à la charge de l’intimée (art. 45 al. 1 LPGA).</w:t>
      </w:r>
    </w:p>
    <w:p>
      <w:r>
        <w:rPr>
          <w:b/>
        </w:rPr>
        <w:t>E. 13</w:t>
      </w:r>
    </w:p>
    <w:p>
      <w:r>
        <w:t>Le dossier permettant à la chambre de céans de statuer sur le degré d’invalidité, il n’y a pas lieu d’ordonner des mesures d’instruction complémentaires ou de renvoyer la cause à l’autorité inférieure, par appréciation anticipée des preuves.</w:t>
      </w:r>
    </w:p>
    <w:p>
      <w:r>
        <w:rPr>
          <w:b/>
        </w:rPr>
        <w:t>E. 14</w:t>
      </w:r>
    </w:p>
    <w:p>
      <w:r>
        <w:t>Au vu de ce qui précède, le recours sera partiellement admis et la décision litigieuse réformée, en ce sens que le recourant a droit au versement par l’intimée d’une rente d’invalidité de 35% dès le 1er septembre 2017. Par ailleurs, les frais de traduction du rapport d’analyse économique du 7 juin 2017 seront mis à charge de l’intimée.</w:t>
      </w:r>
    </w:p>
    <w:p>
      <w:r>
        <w:rPr>
          <w:b/>
        </w:rPr>
        <w:t>E. 15</w:t>
      </w:r>
    </w:p>
    <w:p>
      <w:r>
        <w:t>Le recourant obtenant partiellement gain de cause, une indemnité de CHF 2'500.- lui sera accordée à titre de participation à ses frais et dépens, à charge de l’intimée (art. 61 let. g LPGA ; art. 89H al. 3 LPA ; art. 6 du règlement sur les frais, émoluments et indemnités en procédure administrative du 30 juillet 1986 - RFPA ; RS E 5 10.03).</w:t>
      </w:r>
    </w:p>
    <w:p>
      <w:r>
        <w:rPr>
          <w:b/>
        </w:rPr>
        <w:t>E. 16</w:t>
      </w:r>
    </w:p>
    <w:p>
      <w:r>
        <w:t>La procédure est gratuite (art. 89H al. 1 LPA). ******</w:t>
      </w:r>
    </w:p>
    <w:p>
      <w:r>
        <w:t>A/3127/2018 - 20/20 -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