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ATAS/1051/2020 vom 10. November 2020</w:t>
      </w:r>
    </w:p>
    <w:p>
      <w:r>
        <w:t>GE Cour de justice, 2020-11-10, FR</w:t>
      </w:r>
    </w:p>
    <w:p>
      <w:r>
        <w:rPr>
          <w:b/>
        </w:rPr>
        <w:t xml:space="preserve">Quelle: </w:t>
      </w:r>
      <w:r>
        <w:t>https://mcp.opencaselaw.ch/entscheid/ge_gerichte_ATAS_1051_2020</w:t>
      </w:r>
    </w:p>
    <w:p>
      <w:r>
        <w:t>FR: GE_GERICHTE ATAS/1051/2020 du 10 novembre 2020</w:t>
      </w:r>
    </w:p>
    <w:p>
      <w:r>
        <w:t>IT: GE_GERICHTE ATAS/1051/2020 del 10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A/3980/2019 - 11/25 -</w:t>
      </w:r>
    </w:p>
    <w:p>
      <w:r>
        <w:rPr>
          <w:b/>
        </w:rPr>
        <w:t>E. 3</w:t>
      </w:r>
    </w:p>
    <w:p>
      <w:r>
        <w:t>Interjeté dans la forme et le délai prévus par la loi, le recours est recevable (art. 56 ss LPGA et 62 ss LPA).</w:t>
      </w:r>
    </w:p>
    <w:p>
      <w:r>
        <w:rPr>
          <w:b/>
        </w:rPr>
        <w:t>E. 4</w:t>
      </w:r>
    </w:p>
    <w:p>
      <w:r>
        <w:t>Le litige porte sur le droit du recourant à une rente d’invalidité, singulièrement sur l’évaluation de sa capacité de travail.</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Indiquer les limitations fonctionnelles en relation avec chaque diagnostic</w:t>
      </w:r>
    </w:p>
    <w:p>
      <w:r>
        <w:rPr>
          <w:b/>
        </w:rPr>
        <w:t>E. 5.1.2</w:t>
      </w:r>
    </w:p>
    <w:p>
      <w:r>
        <w:t>Date d'apparition</w:t>
      </w:r>
    </w:p>
    <w:p>
      <w:r>
        <w:rPr>
          <w:b/>
        </w:rPr>
        <w:t>E. 5.2</w:t>
      </w:r>
    </w:p>
    <w:p>
      <w:r>
        <w:t>Les plaintes sont-elles objectivées ? 6. Cohérence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w:t>
      </w:r>
    </w:p>
    <w:p>
      <w:r>
        <w:t>A/3980/2019 - 12/25 - 2011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w:t>
      </w:r>
    </w:p>
    <w:p>
      <w:r>
        <w:t>A/3980/2019 - 13/25 -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A/3980/2019 - 14/25 - 1.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w:t>
      </w:r>
    </w:p>
    <w:p>
      <w:r>
        <w:t>A/3980/2019 - 15/25 -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w:t>
      </w:r>
    </w:p>
    <w:p>
      <w:r>
        <w:t>A/3980/2019 - 16/25 - l’exigibilité repose sur une base objective (consid. 5.2.2;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6.1</w:t>
      </w:r>
    </w:p>
    <w:p>
      <w:r>
        <w:t>Est-ce que le tableau clinique est cohérent, compte tenu du ou des diagnostic(s) retenu(s) ou y a-t-il des atypies ?</w:t>
      </w:r>
    </w:p>
    <w:p>
      <w:r>
        <w:t>A/3980/2019 - 23/25 -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6.4</w:t>
      </w:r>
    </w:p>
    <w:p>
      <w:r>
        <w:t>Quel est le niveau d’activité sociale et comment a-t-il évolué depuis la survenance de l’atteinte à la santé ?</w:t>
      </w:r>
    </w:p>
    <w:p>
      <w:r>
        <w:rPr>
          <w:b/>
        </w:rPr>
        <w:t>E. 6.5</w:t>
      </w:r>
    </w:p>
    <w:p>
      <w:r>
        <w:t>Dans l’ensemble, le comportement de la personne expertisée vous semble-t-il cohérent et pourquoi ?</w:t>
      </w:r>
    </w:p>
    <w:p>
      <w:r>
        <w:rPr>
          <w:b/>
        </w:rPr>
        <w:t>E. 6.6</w:t>
      </w:r>
    </w:p>
    <w:p>
      <w:r>
        <w:t>Est-ce que la personne expertisée s'est engagée ou s'engage dans les traitements qui sont raisonnablement exigibles et possiblement efficaces dans son cas ou n'a-t-elle que peu ou pas de demande de soins ?</w:t>
      </w:r>
    </w:p>
    <w:p>
      <w:r>
        <w:rPr>
          <w:b/>
        </w:rPr>
        <w:t>E. 6.7</w:t>
      </w:r>
    </w:p>
    <w:p>
      <w:r>
        <w:t>En cas de refus ou mauvaise acceptation d’une thérapie, cette attitude doit-elle être attribuée à une incapacité de la personne expertisée à reconnaitre sa maladie ? 7. Personnalité</w:t>
      </w:r>
    </w:p>
    <w:p>
      <w:r>
        <w:rPr>
          <w:b/>
        </w:rPr>
        <w:t>E. 7</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t>A/3980/2019 - 17/25 -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7.1</w:t>
      </w:r>
    </w:p>
    <w:p>
      <w:r>
        <w:t>Est-ce que la personne expertisée présente un trouble de personnalité selon les critères diagnostiques des ouvrages de référence et si oui, lequel, quel code ?</w:t>
      </w:r>
    </w:p>
    <w:p>
      <w:r>
        <w:rPr>
          <w:b/>
        </w:rPr>
        <w:t>E. 7.2</w:t>
      </w:r>
    </w:p>
    <w:p>
      <w:r>
        <w:t>Est-ce que la personne expertisée présente des traits de personnalité pathologiques et, si oui, lesquels ? 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w:t>
      </w:r>
    </w:p>
    <w:p>
      <w:r>
        <w:t>A/3980/2019 - 24/25 - d) familial 9. Capacité de travail 9.1 La personne expertisée est-elle capable d’exercer son ancienne activité lucrative ? 9.1.2 Si non, ou seulement partiellement, pourquoi ? Quelles sont les limitations fonctionnelles qui entrent en ligne de compte ? 9.1.3 Depuis quelle date sa capacité de travail est-elle réduite/ nulle ? 9.2 La personne expertisée est-elle capable d’exercer une activité lucrative adaptée à ses limitations fonctionnelles ? 9.2.1 Si non ou dans une mesure restreinte, pour quels motifs ? Quelles sont les limitations fonctionnelles qui entrent en ligne de compte ? 9.2.2 Si oui, quelle activité lucrative ? A quel taux ? Depuis quelle date ? 9.3 Des mesures médicales sont-elles nécessaires préalablement à la reprise d’une activité lucrative ? Si oui, lesquelles ? 9.4 Comment la capacité de travail de la personne expertisée a-t-elle évolué depuis le 3 février 2016 ? 9.5 Quel est votre pronostic quant à l’exigibilité de la reprise d’une activité lucrative ? 10. Traitement 10.1 Examen du traitement suivi par la personne expertisée et analyse de son adéquation. 10.2 Propositions thérapeutiques et analyse de leurs effets sur la capacité de travail de la personne expertisée 11. Appréciation d'avis médicaux du dossier 11.1 Êtes-vous d’accord avec le rapport d’expertise du Pr L______ du 23 août 2018 ? En particulier avec le diagnostic de neurasthénie et l’estimation d’une capacité de travail de 70 % dans une activité adaptée ? Si non, pourquoi ? 11.2 Êtes-vous d’accord avec les avis du Dr K______ du 31 mai 2018 et du 23 août 2018 ? En particulier avec le diagnostic de dépression moyenne et l’estimation d’une capacité de travail de 40 % dans une activité adaptée ? Si non, pourquoi ?</w:t>
      </w:r>
    </w:p>
    <w:p>
      <w:r>
        <w:rPr>
          <w:b/>
        </w:rPr>
        <w:t>E. 12</w:t>
      </w:r>
    </w:p>
    <w:p>
      <w:r>
        <w:t>Quel est le pronostic ?</w:t>
      </w:r>
    </w:p>
    <w:p>
      <w:r>
        <w:rPr>
          <w:b/>
        </w:rPr>
        <w:t>E. 13</w:t>
      </w:r>
    </w:p>
    <w:p>
      <w:r>
        <w:t>Des mesures de réadaptation professionnelle sont-elles envisageables ?</w:t>
      </w:r>
    </w:p>
    <w:p>
      <w:r>
        <w:t>A/3980/2019 - 25/25 -</w:t>
      </w:r>
    </w:p>
    <w:p>
      <w:r>
        <w:rPr>
          <w:b/>
        </w:rPr>
        <w:t>E. 14</w:t>
      </w:r>
    </w:p>
    <w:p>
      <w:r>
        <w:t>Faire toutes autres observations ou suggestions utiles. III. Réserve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