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ATAS/1051/2018 vom 14. November 2018</w:t>
      </w:r>
    </w:p>
    <w:p>
      <w:r>
        <w:t>GE Cour de justice, 2018-11-14, FR</w:t>
      </w:r>
    </w:p>
    <w:p>
      <w:r>
        <w:rPr>
          <w:b/>
        </w:rPr>
        <w:t xml:space="preserve">Quelle: </w:t>
      </w:r>
      <w:r>
        <w:t>https://mcp.opencaselaw.ch/entscheid/ge_gerichte_ATAS_1051_2018</w:t>
      </w:r>
    </w:p>
    <w:p>
      <w:r>
        <w:t>FR: GE_GERICHTE ATAS/1051/2018 du 14 novembre 2018</w:t>
      </w:r>
    </w:p>
    <w:p>
      <w:r>
        <w:t>IT: GE_GERICHTE ATAS/1051/2018 del 14 novembre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liant l'ex-employeur de la demanderesse et cette dernière,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w:t>
      </w:r>
    </w:p>
    <w:p>
      <w:r>
        <w:t>En l’occurrence, l’art. 20 des Conditions générales pour l'assurance maladie collective d'Allianz (ci-après CGA) prévoit qu'un cas de litiges, dans le cadre de l'assurance collective d'indemnité journalière en cas de maladie souscrite par un employeur pour ses employés, leur lieu de travail en Suisse est également reconnu comme for juridique. En l'espèce, l'assurance a été souscrite par l'employeur de la demanderesse et le lieu de travail était à Genève, de sorte que la chambre de céans est compétente à raison du lieu pour connaître de la présente demande.</w:t>
      </w:r>
    </w:p>
    <w:p>
      <w:r>
        <w:rPr>
          <w:b/>
        </w:rPr>
        <w:t>E. 3</w:t>
      </w:r>
    </w:p>
    <w:p>
      <w:r>
        <w:t>L'objet du litige porte sur le droit de la demanderesse aux versements d'indemnités journalières par la défenderesse pour la période du 30 juillet 2014 au 29 juillet 2016.</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t>A/2542/2016 - 17/25 -</w:t>
      </w:r>
    </w:p>
    <w:p>
      <w:r>
        <w:rPr>
          <w:b/>
        </w:rPr>
        <w:t>E. 5</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6</w:t>
      </w:r>
    </w:p>
    <w:p>
      <w:r>
        <w:t>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En l'espèce, à teneur de la lettre de licenciement du 30 juin 2014, les employeurs de la demanderesse ont mis fin à son contrat de travail au 31 juillet 2014 en la dispensant de l’obligation de travailler. Ils ont ainsi résilié le contrat de travail en respectant le délai de congé d'un mois, sans invoquer de justes motifs. Il en résulte que la demanderesse n’a pas été licenciée avec effet immédiat. Les rapports de travail devaient ainsi prendre fin le 31 juillet 2014, mais ils ont été prolongés de 90 jours en raison de la maladie de la demanderesse. Suite à l'échéance de son contrat de travail, la demanderesse avait encore droit aux prestations de la défenderesse en application de l'art. 9 ch. 2 let. a CGA, mais uniquement pour la maladie psychique en raison de laquelle elle était en incapacité de travail lors de l'expiration de la couverture d'assurance et ce, jusqu'à l'expiration</w:t>
      </w:r>
    </w:p>
    <w:p>
      <w:r>
        <w:t>A/2542/2016 - 22/25 - de la durée des prestations prévues dans le contrat au plus tard, étant précisé que son incapacité de travail a persisté de manière ininterrompue pour la même cause et sans aggravation. Le cancer de la demanderesse ayant été diagnostiqué après l'échéance des rapports de travail liant la demanderesse à ses employeurs, l'incapacité de travail causée par cette maladie n'est pas couverte par le contrat liant ces derniers à la défenderesse, qui n'a pas à verser de prestations à ce titre, en application de l'art. 9 ch. 2 al. 1 let. a CGA. La demanderesse a ainsi droit aux indemnités journalières du 30 juillet 2014 (30 jours de délai d'attente après 30 juin 2014) au 29 juillet 2016 (échéance des 730 jours), à 100% dès le 30 juillet 2014 et à 75% (50% de capacité de travail avec un rendement de 50%) dès le 9 octobre 2015. La défenderesse n'a pas contesté le montant de l'indemnité journalière fixé par la demanderesse à CHF 118.35, qu'il convient de retenir.</w:t>
      </w:r>
    </w:p>
    <w:p>
      <w:r>
        <w:rPr>
          <w:b/>
        </w:rPr>
        <w:t>E. 11</w:t>
      </w:r>
    </w:p>
    <w:p>
      <w:r>
        <w:t>La demanderesse a conclu au paiement par la défenderesse d'un intérêt à 5% dès le 22 janvier 2015. a. Selon l'art. 104 al. 1 CO, le débiteur qui est en demeure pour le paiement d'une somme d'argent doit l'intérêt moratoire à 5 % l'an, même si un taux inférieur avait été fixé pour l'intérêt conventionnel.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Un débiteur peut valablement être interpellé avant même l’exigibilité de la créance (ATF 103 II 102 consid. 1a ; Rolf WEBER, Berner Kommentar, 2000, n. 102 ad art. 102 CO). La demeure ne déploie toutefois ses effets qu’avec l’exigibilité de la créance.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Si le délai est fixé par semaines, la dette est échue le jour qui, dans la dernière semaine, correspond par son nom au jour de la conclusion du contrat. Cette règle</w:t>
      </w:r>
    </w:p>
    <w:p>
      <w:r>
        <w:t>A/2542/2016 - 23/25 - est également applicable si le délai court à partir d’une époque autre que celle de la conclusion du contrat (art. 77 al. 1 ch. 2 et 77 al. 2 CO). b. En l'espèce, la demanderesse a mis en demeure la défenderesse de lui payer les indemnités journalières le 22 janvier 2015. Le droit à des intérêts moratoires court ainsi dès le lendemain de cette mise en demeure, mais seulement pour les prestations exigibles. Les prestations pour la période du 30 juillet 2014 au 31 janvier 2015 (soit CHF 20'948.- [177 jours x CHF 118.35]) sont devenues exigibles quatre semaines après la transmission du certificat médical adressé par la demanderesse à la défenderesse le 22 janvier 2015, qui attestait d'une incapacité de travail pour le mois de janvier 2015. L'intérêt moratoire court pour ce montant dès le 20 février 2015. La demanderesse a transmis à la défenderesse, le 30 juillet 2015, un certificat médical attestant de la prolongation de son incapacité totale de travailler jusqu'à la fin du mois de juillet 2015. Il convient de retenir que les indemnités journalières pour la période courant de février à fin juillet 2015 (soit CHF 21'421.- [181 jours x CHF 118.35]) sont devenues exigibles quatre semaines après la réception présumée de ce certificat, le 2 août 2015, soit le 30 août suivant. Les intérêts moratoires sont dus dès le 1er septembre 2015 sur ces indemnités. Le 27 avril 2016, la demanderesse a transmis à la défenderesse la copie du procès- verbal de l’audition du Dre F______ devant le Tribunal des prud'hommes qui avait déclaré que depuis qu'elle avait vu la demanderesse, celle-ci était totalement incapable de travailler. Elle attestait ainsi de son incapacité de travail à 100% entre août 2015 et avril 2016. Les prestations pour cette période (soit CHF 26'392.- [70 jours x CHF 118.35 = CHF 8'284.-] et [204 jours x CHF 118.35 x 75% = 18'107.55]) sont devenues exigibles le 27 mai suivant. Les intérêts moratoires sont dus dès le 28 mai 2016 sur ces indemnités. Le 13 mai 2016, la demanderesse a transmis à Allianz des certificats établis par la Dre F______ attestant d'une incapacité totale de la demanderesse de mars à fin mai 2016. L'on peut retenir que ces certificats sont parvenus à la défenderesse le 16 mai suivant. Les indemnités journalières pour le mois de mai 2016 (soit CHF 2'752.- [31 jours x CHF 118.35 x 75%]) sont devenues exigibles le 13 juin suivant. Les intérêts moratoires sont dus dès le 14 juin 2016 sur ces indemnités. Le 21 février 2017, la chambre de céans a transmis à Allianz copie du dossier AI de la demanderesse qui contenait des certificats médicaux attestant de l'incapacité totale de travailler de la demanderesse jusqu'en décembre 2016. Les prestations pour les mois de juin et juillet 2016 (soit CHF 5'415.- [61 jours x CHF 118.35 x 75%]) sont ainsi devenues exigibles le 23 mars 2017. Les intérêts moratoires sont dus dès le 24 mars 2017 sur ces indemnités.</w:t>
      </w:r>
    </w:p>
    <w:p>
      <w:r>
        <w:rPr>
          <w:b/>
        </w:rPr>
        <w:t>E. 12</w:t>
      </w:r>
    </w:p>
    <w:p>
      <w:r>
        <w:t>Les cantons sont compétents pour fixer le tarif des frais comprenant le défraiement d’un représentant professionnel (art. 96 CPC en relation avec l’art. 95 al. 3 let. b</w:t>
      </w:r>
    </w:p>
    <w:p>
      <w:r>
        <w:t>A/2542/2016 - 24/25 - CPC). Selon l’art. 20 al. 1 de la loi d’application du code civil suisse et d’autres lois fédérales en matière civile du 11 octobre 2012 (LaCC – E 1 05),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Le règlement fixant le tarif des frais en matière civile du 22 décembre 2010 (RTFMC - E 1 05.10) détermine notamment le tarif des dépens, applicable aux affaires civiles contentieuses (art. 84 et 85 RTFMC).</w:t>
      </w:r>
    </w:p>
    <w:p>
      <w:r>
        <w:rPr>
          <w:b/>
        </w:rPr>
        <w:t>E. 13</w:t>
      </w:r>
    </w:p>
    <w:p>
      <w:r>
        <w:t>La demanderesse, représentée par un conseil, qui obtient en grande partie gain de cause a droit à une indemnité à la charge de la défenderesse de CHF 10'860.- (CHF 9'700.- + CHF 384.- [6% x CH 6'395.- (CHF 86'395.- – CHF 80'000.-)]), y compris la TVA (7.7%) Pour le surplus, la procédure est gratuite (art. 114 let. e CPC et art. 22 al. 3 let. a LaCC).</w:t>
      </w:r>
    </w:p>
    <w:p>
      <w:r>
        <w:t>A/2542/2016 - 25/25 -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