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ATAS/1051/2014 vom 1. Oktober 2014</w:t>
      </w:r>
    </w:p>
    <w:p>
      <w:r>
        <w:t>GE Cour de justice, 2014-10-01, FR</w:t>
      </w:r>
    </w:p>
    <w:p>
      <w:r>
        <w:rPr>
          <w:b/>
        </w:rPr>
        <w:t xml:space="preserve">Quelle: </w:t>
      </w:r>
      <w:r>
        <w:t>https://mcp.opencaselaw.ch/entscheid/ge_gerichte_ATAS_1051_2014</w:t>
      </w:r>
    </w:p>
    <w:p>
      <w:r>
        <w:t>FR: GE_GERICHTE ATAS/1051/2014 du 1 octobre 2014</w:t>
      </w:r>
    </w:p>
    <w:p>
      <w:r>
        <w:t>IT: GE_GERICHTE ATAS/1051/2014 del 1 ottobre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w:t>
      </w:r>
    </w:p>
    <w:p>
      <w:r>
        <w:t>A/663/2014 - 6/13 -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de la LAI consécutives à la 5ème révision et dès le 1er janvier 2012, en fonction des modifications de la LAI consécutives à la révision 6a,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Par ailleurs, la LPGA, entrée en vigueur le 1er janvier 2003, est applicable au cas d’espèce.</w:t>
      </w:r>
    </w:p>
    <w:p>
      <w:r>
        <w:rPr>
          <w:b/>
        </w:rPr>
        <w:t>E. 3</w:t>
      </w:r>
    </w:p>
    <w:p>
      <w:r>
        <w:t>Interjeté dans les formes et délai prévus par la loi, le présent recours est recevable (art. 56 à 61 LPGA et 89B de la loi sur la procédure administrative du 12 septembre 1985 – LPA ; E 5 10).</w:t>
      </w:r>
    </w:p>
    <w:p>
      <w:r>
        <w:rPr>
          <w:b/>
        </w:rPr>
        <w:t>E. 4</w:t>
      </w:r>
    </w:p>
    <w:p>
      <w:r>
        <w:t>Le litige porte sur le droit du recourant à une rente d’invalidité, respectivement à une mesure reclassement, et singulièrement sur le degré d’invalidité du recourant.</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A/663/2014 - 7/13 -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6</w:t>
      </w:r>
    </w:p>
    <w:p>
      <w:r>
        <w:t>En l’occurrence, l’intimé a estimé, sur la base notamment des rapports du médecin traitant du recourant, le Dr B______, et des avis du SMR, que le recourant avait une capacité de travail nulle dans son activité habituelle depuis le 25 avril 2010, mais entière dans une activité adaptée à ses limitations fonctionnelles dès le 30 novembre 2010, avec toutefois une période d’incapacité totale de travail entre les mois d’octobre 2011 et de février 2012, en raison de l’opération subie en date du 19 octobre 2011.</w:t>
      </w:r>
    </w:p>
    <w:p>
      <w:r>
        <w:t>A/663/2014 - 8/13 - Compte tenu des rapports du Dr B______ et des conclusions du rapport des EPI, qui confirment la pleine capacité de travail du recourant dans une activité respectant ses limitations fonctionnelles, il convient de confirmer les conclusions de l’intimé. D’ailleurs, le recourant ne conteste pas avoir une pleine capacité de travail dès le 30 novembre 2010.</w:t>
      </w:r>
    </w:p>
    <w:p>
      <w:r>
        <w:rPr>
          <w:b/>
        </w:rPr>
        <w:t>E. 7</w:t>
      </w:r>
    </w:p>
    <w:p>
      <w:r>
        <w:t>Il convient dès lors de se déterminer sur le degré d’invalidité du recourant. a. En vertu de l’art. 28 al. 2 LAI, l’assuré a droit à une rente entière s’il est invalide à 70% au moins, à un trois-quarts de rente s'il est invalide à 60% au moins, à une demi-rente s’il est invalide à 50% au moins, ou à un quart de rente s’il est invalide à 40% au moins.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Toutefois, lorsque cela apparaît indiqué dans un cas concret pour permettre à l'assuré de mettre pleinement à profit</w:t>
      </w:r>
    </w:p>
    <w:p>
      <w:r>
        <w:t>A/663/2014 - 9/13 -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du Tribunal fédéral 9C_142/2009 du 20 novembre 2009 consid. 4.1 ; arrêt du Tribunal fédéral 9C_237/2007 du 24 août 2007 consid. 5.1, non publié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8</w:t>
      </w:r>
    </w:p>
    <w:p>
      <w:r>
        <w:t>En l’espèce, il s’agit de calculer le degré d’invalidité du recourant en 2011, année d’un éventuel début du droit à la rente. L’OAI a fixé, avec raison, le revenu sans invalidité en se fondant sur les déclarations du dernier employeur, soit à CHF 66'514.- pour l’année 2011. Ce revenu n’est pas contesté par le recourant.</w:t>
      </w:r>
    </w:p>
    <w:p>
      <w:r>
        <w:t>A/663/2014 - 10/13 - En ce qui concerne le revenu d’invalide, on ne saurait tenir compte, premièrement, comme le sollicite le recourant, des revenus statistiques de la région lémanique. Outre le fait qu’on ne sait pas à quelles tables statistiques le recourant fait référence, le Tribunal fédéral des assurances a décidé, dans une décision de principe, de ne pas prendre en considération les données salariales régionales telles qu'elles ressortent de la table TA13 de l'ESS lors de la détermination du revenu hypothétique d'invalide. Cette décision de principe vaut également pour les données issues des «salaires d'usage par branche dans 7 régions suisses» de l'Union syndicale suisse (arrêt du Tribunal fédéral des assurances I 194/06 du 28 septembre 2006 consid. 2.3 et arrêt du Tribunal fédéral des assurances I 424/05 du 22 août 2006 consid. 3.2). Le Tribunal fédéral n’est pas revenu sur cette jurisprudence. Par ailleurs, bien que le recourant ait repris une activité, il était toujours en stage lors de l’audience de comparution personnelle, de sorte que la chambre de céans considère que c’est à juste titre que l’intimé s’est basé sur les salaires résultant de l’ESS 2010. De plus, il convient d’admettre que le marché du travail offre un éventail suffisamment large d’activités légères, dont on doit convenir qu’un nombre significatif étaient adaptées aux limitations fonctionnelles du recourant et accessibles sans aucune formation particulière (arrêt du Tribunal fédéral 9C_31/2010 du 28 septembre 2010 consid. 4.3). Dès lors, d’après l’ESS 2010, le revenu mensuel standardisé d’un homme exerçant une activité simple et répétitive (tableau TA1, niveau de qualification 4, ligne totale, homme, part au 13ème salaire comprise) est de CHF 4'901.-. Ce salaire hypothétique, calculé sur la base d’un horaire de travail de 40 heures, doit encore être adapté à l’horaire de travail en 2011, lequel est de 41.7 heures (cf. tableau « durée normale du travail dans les entreprises selon la division économique » de l’Office fédéral de la statistique) ainsi qu’à l’indice suisse des salaires nominaux (ISS 2010 : 2'151 et ISS 2011 : 2’171). On obtient ainsi un revenu annuel brut de CHF 61'881.55. En outre, l’intimé a retenu un abattement de 10%, afin de tenir compte des limitations fonctionnelles du recourant. En 2011, celui-ci était relativement jeune – 40 ans – et était déjà titulaire d’un permis C, critères qui ne permettent pas de retenir un abattement supérieur à 10%, comme sollicité par le recourant. En effet, il ne s’agit pas de circonstances qui influencent de manière négative le revenu d’une activité lucrative. Le grief du recourant à cet égard sera dès lors rejeté. Le revenu d’invalide 2011 est ainsi de CHF 55'693.40. Partant, le degré d’invalidité est de 16%, comme déterminé par l’intimé, taux n’ouvrant pas de droit à une rente d’invalidité (66'514 - 55'693.40) x 100 / 66'514).</w:t>
      </w:r>
    </w:p>
    <w:p>
      <w:r>
        <w:rPr>
          <w:b/>
        </w:rPr>
        <w:t>E. 9</w:t>
      </w:r>
    </w:p>
    <w:p>
      <w:r>
        <w:t>Reste à se prononcer sur la mesure de reclassement demandée par le recourant.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w:t>
      </w:r>
    </w:p>
    <w:p>
      <w:r>
        <w:t>A/663/2014 - 11/13 -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notamment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b. En l’occurrence, compte tenu de son degré d’invalidité de 16%, le recourant n’a pas de droit à une mesure de reclassement professionnel.</w:t>
      </w:r>
    </w:p>
    <w:p>
      <w:r>
        <w:t>A/663/2014 - 12/13 - En outre, il résulte du dossier que le recourant a pu bénéficier d’une mesure d’orientation professionnelle ainsi que d’un placement à l’essai (art. 18a LAI), lequel a notamment permis de déterminer qu’il était capable de travailler à plein temps dans une activité non-sédentaire ou semi-sédentaire et dans le circuit économique ordinaire. Dès lors, aucune nouvelle mesure d’ordre professionnel ne saurait être accordée au recourant.</w:t>
      </w:r>
    </w:p>
    <w:p>
      <w:r>
        <w:rPr>
          <w:b/>
        </w:rPr>
        <w:t>E. 10</w:t>
      </w:r>
    </w:p>
    <w:p>
      <w:r>
        <w:t>Partant, compte tenu de tout ce qui précède, le recours est rejeté. La procédure de recours en matière de contestations portant sur l’octroi ou le refus de prestations de l’AI par devant la chambre de céans étant soumis à des frais de justice, un émolument de CHF 200.- est mis à la charge du recourant (art. 69 al. 1bis LAI et 89H al. 4 LPA).</w:t>
      </w:r>
    </w:p>
    <w:p>
      <w:r>
        <w:t>A/663/2014 - 13/13 -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