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ATAS/1050/2017 vom 22. November 2017</w:t>
      </w:r>
    </w:p>
    <w:p>
      <w:r>
        <w:t>GE Cour de justice, 2017-11-22, FR</w:t>
      </w:r>
    </w:p>
    <w:p>
      <w:r>
        <w:rPr>
          <w:b/>
        </w:rPr>
        <w:t xml:space="preserve">Quelle: </w:t>
      </w:r>
      <w:r>
        <w:t>https://mcp.opencaselaw.ch/entscheid/ge_gerichte_ATAS_1050_2017</w:t>
      </w:r>
    </w:p>
    <w:p>
      <w:r>
        <w:t>FR: GE_GERICHTE ATAS/1050/2017 du 22 novembre 2017</w:t>
      </w:r>
    </w:p>
    <w:p>
      <w:r>
        <w:t>IT: GE_GERICHTE ATAS/1050/2017 del 22 novembre 2017</w:t>
      </w:r>
    </w:p>
    <w:p>
      <w:pPr>
        <w:pStyle w:val="Heading2"/>
      </w:pPr>
      <w:r>
        <w:t>Erwägungen</w:t>
      </w:r>
    </w:p>
    <w:p>
      <w:r>
        <w:rPr>
          <w:b/>
        </w:rPr>
        <w:t>E. 9</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prescrits par la loi, le présent recours est recevable (art. 56 et 60 LPGA; art. 89B LPA).</w:t>
      </w:r>
    </w:p>
    <w:p>
      <w:r>
        <w:t>A/1616/2017 - 4/5 - 3. Selon l'art. 15 LPC, les frais de maladie et d'invalidité sont remboursés aux conditions suivantes : a. le remboursement est demandé dans les quinze mois à compter de la facturation; b. les frais sont intervenus à une époque pendant laquelle le requérant remplissait les conditions fixées aux art. 4 à 6. 4.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5. En l'espèce, il est établi par les pièces de la procédure que les factures et décomptes non remboursés par le SPC ont été transmis par la compagne du recourant après l'échéance de quinze mois dès leur émission. Elle a en effet transmis les factures et décomptes au SPC le 5 décembre 2016. C'est donc à juste titre que le SPC a refusé de payer les factures et décomptes datés de février à juin 2015. Le délai de 15 mois n'est pas prolongeable aux termes de la loi, qui ne prévoit pas d'exception en la matière. Il s'agit en effet d'un délai de droit matériel, auquel l'art. 41 LPGA, qui permet une restitution de délai à certaines conditions, ne s'applique pas. Il en résulte que la décision sur opposition querellée doit être confirmée et le recours rejeté. 6. La procédure est gratuite (art. 61 let. a LPGA).</w:t>
      </w:r>
    </w:p>
    <w:p>
      <w:r>
        <w:t>A/1616/2017 - 5/5 -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