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ATAS/104/2025 vom 23. Januar 2025</w:t>
      </w:r>
    </w:p>
    <w:p>
      <w:r>
        <w:t>GE Cour de justice, 2025-01-23, FR</w:t>
      </w:r>
    </w:p>
    <w:p>
      <w:r>
        <w:rPr>
          <w:b/>
        </w:rPr>
        <w:t xml:space="preserve">Quelle: </w:t>
      </w:r>
      <w:r>
        <w:t>https://mcp.opencaselaw.ch/entscheid/ge_gerichte_ATAS_104_2025</w:t>
      </w:r>
    </w:p>
    <w:p>
      <w:r>
        <w:t>FR: GE_GERICHTE ATAS/104/2025 du 23 janvier 2025</w:t>
      </w:r>
    </w:p>
    <w:p>
      <w:r>
        <w:t>IT: GE_GERICHTE ATAS/104/2025 del 23 gennaio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ayant été domiciliée dans le canton de Genève jusqu'au moment de la faillite, la Cour de céans est également compétente ratione loci</w:t>
      </w:r>
    </w:p>
    <w:p>
      <w:r>
        <w:rPr>
          <w:b/>
        </w:rPr>
        <w:t>E. 1.3</w:t>
      </w:r>
    </w:p>
    <w:p>
      <w:r>
        <w:t>Interjeté en temps utile, le recours est recevable (art. 60 al. 1 LPGA).</w:t>
      </w:r>
    </w:p>
    <w:p>
      <w:r>
        <w:rPr>
          <w:b/>
        </w:rPr>
        <w:t>E. 2</w:t>
      </w:r>
    </w:p>
    <w:p>
      <w:r>
        <w:t>Le litige porte sur la responsabilité du recourant dans le préjudice causé à l’intimée par le défaut de paiement des cotisations sociales (AVS-AI-APG-AC- AMat et AF) en 2018, période durant laquelle il a été inscrit au RC en tant que directeur de la société.</w:t>
      </w:r>
    </w:p>
    <w:p>
      <w:r>
        <w:rPr>
          <w:b/>
        </w:rPr>
        <w:t>E. 3.1</w:t>
      </w:r>
    </w:p>
    <w:p>
      <w:r>
        <w:t>À teneur de l'art. 1 al. 1 LAVS, les dispositions de la LPGA s'appliquent aux art. 1 à 97 LAVS, à moins que la loi n'y déroge expressément</w:t>
      </w:r>
    </w:p>
    <w:p>
      <w:r>
        <w:rPr>
          <w:b/>
        </w:rPr>
        <w:t>E. 3.2</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w:t>
      </w:r>
    </w:p>
    <w:p>
      <w:r>
        <w:t>A/1797/2023 - 10/18 - 31 décembre 2002) restent par ailleurs valables sous l'empire des modifications introduites par la LPGA (ATF 129 V 11 consid. 3.5 et 3.6).</w:t>
      </w:r>
    </w:p>
    <w:p>
      <w:r>
        <w:rPr>
          <w:b/>
        </w:rPr>
        <w:t>E. 3.3</w:t>
      </w:r>
    </w:p>
    <w:p>
      <w:r>
        <w:t>Quant aux dispositions de la novelle du 17 mars 2011 modifiant la LAVS et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 dommage dont la réparation est réclamée concerne l’année 2018, de sorte que l’art. 52 al. 1 LAVS est applicable dans sa teneur en vigueur depuis le 1er janvier 2012 (arrêt du Tribunal fédéral 9C_80/2017 du 31 mai 2017 consid. 3.2).</w:t>
      </w:r>
    </w:p>
    <w:p>
      <w:r>
        <w:rPr>
          <w:b/>
        </w:rPr>
        <w:t>E. 4.1</w:t>
      </w:r>
    </w:p>
    <w:p>
      <w:r>
        <w:t>L'art. 14 al. 1er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4.2</w:t>
      </w:r>
    </w:p>
    <w:p>
      <w:r>
        <w:t>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w:t>
      </w:r>
    </w:p>
    <w:p>
      <w:r>
        <w:rPr>
          <w:b/>
        </w:rPr>
        <w:t>E. 4.3</w:t>
      </w:r>
    </w:p>
    <w:p>
      <w:r>
        <w:t>Selon l’art. 52 al. 3 aLAVS, le droit à réparation est prescrit deux ans après que la caisse de compensation compétente a eu connaissance du dommage et, dans tous les cas, cinq ans après la survenance du dommage. Ces délais peuvent</w:t>
      </w:r>
    </w:p>
    <w:p>
      <w:r>
        <w:t>A/1797/2023 - 11/18 - être interrompus. L'employeur peut renoncer à invoquer la prescription. Si le droit pénal prévoit un délai de prescription plus long, celui-ci est applicable (al. 3). Le 1er janvier 2020 est toutefois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5</w:t>
      </w:r>
    </w:p>
    <w:p>
      <w:r>
        <w:t>À titre liminaire, il convient d’examiner si la prétention de la caisse est prescrite.</w:t>
      </w:r>
    </w:p>
    <w:p>
      <w:r>
        <w:rPr>
          <w:b/>
        </w:rPr>
        <w:t>E. 5.1</w:t>
      </w:r>
    </w:p>
    <w:p>
      <w:r>
        <w:t>Comme indiqué supra, 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Code des obligations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130ss CO (Message du Conseil fédéral relatif à la modification du code des obligations [droit de la prescription] du 29 novembre 2013, FF 2014 221, p. 260).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w:t>
      </w:r>
    </w:p>
    <w:p>
      <w:r>
        <w:t>A/1797/2023 - 12/18 -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5.2</w:t>
      </w:r>
    </w:p>
    <w:p>
      <w:r>
        <w:t>Il résulte de la jurisprudence rendue à propos de l’art. 52 al. 3 aLAVS, les éléments qui suivent.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w:t>
      </w:r>
    </w:p>
    <w:p>
      <w:r>
        <w:rPr>
          <w:b/>
        </w:rPr>
        <w:t>E. 5.3</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w:t>
      </w:r>
    </w:p>
    <w:p>
      <w:r>
        <w:rPr>
          <w:b/>
        </w:rPr>
        <w:t>E. 5.4</w:t>
      </w:r>
    </w:p>
    <w:p>
      <w:r>
        <w:t>En l’occurrence, la faillite de la société a été prononcée le 27 mai 2020. Dès lors qu’au 1er janvier 2020, la créance de la caisse n’était pas prescrite, c’est le délai de prescription de trois ans qui s’applique.</w:t>
      </w:r>
    </w:p>
    <w:p>
      <w:r>
        <w:t>A/1797/2023 - 13/18 - Le délai pour émettre une décision en réparation du dommage courait donc jusqu’au 27 mai 2023. La décision en réparation du dommage du 15 mars 2023 est donc intervenue en temps utile.</w:t>
      </w:r>
    </w:p>
    <w:p>
      <w:r>
        <w:rPr>
          <w:b/>
        </w:rPr>
        <w:t>E. 6.1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1er janvier 2022, no 8017 ; ATF 121 III 382 consid. 3/bb). Les éventuelles amendes prononcées par la caisse de compensation ne font pas partie du dommage et doivent le cas échéant être déduites (arrêt du Tribunal fédéral des assurances H 142/03 du 19 août 2003 consid. 5.5).</w:t>
      </w:r>
    </w:p>
    <w:p>
      <w:r>
        <w:rPr>
          <w:b/>
        </w:rPr>
        <w:t>E. 6.2</w:t>
      </w:r>
    </w:p>
    <w:p>
      <w:r>
        <w:t>S'agissant des cotisations dues en vertu de la loi instituant une assurance en cas de maternité et d'adoption du 21 avril 2005 (LAMat - J 5 07), par arrêt du 30 janvier 2020, la Cour de céans a jugé qu’il n’existait pas de base légale suffisante pour rechercher les employeurs ou leurs organes pour le dommage résultant du défaut de paiement des cotisations précitées (ATAS/79/2020). Cela étant,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w:t>
      </w:r>
    </w:p>
    <w:p>
      <w:r>
        <w:rPr>
          <w:b/>
        </w:rPr>
        <w:t>E. 6.3</w:t>
      </w:r>
    </w:p>
    <w:p>
      <w:r>
        <w:t>En l’espèce, la décision litigieuse a été rendue après le 1er février 2023, date à laquelle a été introduite la base légale permettant de rechercher les employeurs ou leurs organes pour le dommage résultant du défaut de paiement des cotisations AMat. Celles-ci font donc partie intégrante du dommage. Pour le surplus, le montant du dommage n’est pas contesté.</w:t>
      </w:r>
    </w:p>
    <w:p>
      <w:r>
        <w:rPr>
          <w:b/>
        </w:rPr>
        <w:t>E. 7</w:t>
      </w:r>
    </w:p>
    <w:p>
      <w:r>
        <w:t>L’action en réparation du dommage n’étant pas prescrite, il convient à présent d’examiner si les autres conditions de la responsabilité de l’art. 52 LAVS sont réalisées. À teneur de l’art. 52 al. 2 LAVS, si l'employeur est une personne morale, les membres de l'administration et toutes les personnes qui s'occupent de la gestion</w:t>
      </w:r>
    </w:p>
    <w:p>
      <w:r>
        <w:t>A/1797/2023 - 14/18 - ou de la liquidation répondent à titre subsidiaire du dommage. Lorsque plusieurs personnes sont responsables d'un même dommage, elles répondent solidairement de la totalité du dommage.</w:t>
      </w:r>
    </w:p>
    <w:p>
      <w:r>
        <w:rPr>
          <w:b/>
        </w:rPr>
        <w:t>E. 7.1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7.2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Dans cette éventualité, il faut cependant que la personne en question ait eu la possibilité de causer un dommage ou de l'empêcher, c'est-à-dire qu'elle ait effectivement exercé une influence sur la marche des affaires de la société (ATF 132 III 523 consid. 4.5 et les références ;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w:t>
      </w:r>
    </w:p>
    <w:p>
      <w:r>
        <w:t>A/1797/2023 - 15/18 - La qualité d'organe est donc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w:t>
      </w:r>
    </w:p>
    <w:p>
      <w:r>
        <w:rPr>
          <w:b/>
        </w:rPr>
        <w:t>E. 7.3</w:t>
      </w:r>
    </w:p>
    <w:p>
      <w:r>
        <w:t>Le Tribunal fédéral a ainsi reconnu la responsabilité non seulement des membres du conseil d'administration, mais également celle de l'organe de révision d'une société anonyme, du directeur d'une société anonyme disposant du droit de signature individuelle, du gérant d'une Sàrl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w:t>
      </w:r>
    </w:p>
    <w:p>
      <w:r>
        <w:rPr>
          <w:b/>
        </w:rPr>
        <w:t>E. 7.4</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t>A/1797/2023 - 16/18 -</w:t>
      </w:r>
    </w:p>
    <w:p>
      <w:r>
        <w:rPr>
          <w:b/>
        </w:rPr>
        <w:t>E. 7.5</w:t>
      </w:r>
    </w:p>
    <w:p>
      <w:r>
        <w:t>En l’espèce, il n’est pas contestable ni d’ailleurs contesté que le recourant a été directeur avec signature individuelle de la société de sa fondation au 9 juillet 2019 (cf. inscription au RC). Se pose la question de savoir s’il peut se voir reconnaître la qualité d’organe de fait, étant rappelé que le fait qu'une personne est inscrite au RC avec droit de signature n'est, à lui seul, pas déterminant. Il convient bien plutôt de déterminer si le recourant a eu des compétences allant nettement au-delà d'un travail préparatoire et de création des bases de décisions, pour se concentrer sur la participation, comme telle, à la formation de la volonté de la société. Tel n’est pas le cas du recourant, de l’avis de la Cour de céans. En effet, les enquêtes ont confirmé que le recourant, par le biais de sa fiduciaire, n’avait pour seule vocation que de s’occuper de tenir la comptabilité de la société. Il n’a jamais participé à la formation de la volonté- de celle-ci. Il est établi qu’il n’avait pas même accès aux comptes de la société et n’avait donc aucun pouvoir sur les paiements effectués. Le recourant n’avait donc pas, concrètement, la possibilité de causer un dommage ou de l'empêcher, puisqu’il n’avait aucune influence sur la marche des affaires de la société, malgré son titre formel de directeur. En réalité, il n’avait pas l'étendue des compétences que cette fonction suppose et ne pouvait empêcher la survenance du dommage, faute de disposer des pouvoirs nécessaires (cf. par exemple ATF 9C_68/2020 du 29 décembre 2020). Il ressort des propos du recourant, corroborés par son fils mais également par l’aide-comptable de la fiduciaire, que son rôle se limitait à la transmission du courrier adressé à la société et à la tenue de la comptabilité (y compris les déclarations de salaires). En réalité, ce sont les seuls associés qui avaient la main sur la marche des affaires et la gestion de la société. C’est C______ et lui seul qui avait accès aux comptes bancaires et qui pouvait ainsi décider de la priorité à donner aux paiements. En réalité, le recourant a surtout servi de prête-nom et d’homme de paille. Certes, il était avisé du retard pris dans le paiement du solde de cotisations dû pour l’année 2018, mais, dans la mesure où un report de délai avait été demandé et accordé par la caisse, il n’avait pas à s’en inquiéter outre mesure, sachant que la société disposait encore, fin 2018, de liquidités suffisantes pour s’acquitter dudit montant. Dans ces circonstances, il serait arbitraire de retenir que le recourant était un organe de fait de la société, en déduisant avant tout de son inscription au registre du commerce une participation déterminante à la formation de la volonté sociale. Sa responsabilité dans le dommage causé par le non-paiement des cotisations sociales pour l’année 2018 n'est donc pas engagée. Dans la mesure où le recourant ne peut se voir reconnaître la qualité d’organe de fait de la société, il ne peut être tenu pour responsable du dommage occasionné à la caisse. Peu importe qu’il se soit rendu coupable d’une négligence.</w:t>
      </w:r>
    </w:p>
    <w:p>
      <w:r>
        <w:t>A/1797/2023 - 17/18 - S’il est vrai qu’une personne qui se déclare prête à assumer ou à conserver un mandat d'administrateur tout en sachant qu'elle ne pourra pas le remplir consciencieusement viole son obligation de diligence (ATF 122 III 195 consid. 3b) et qu’un administrateur, dont la situation est à cet égard proche de celle de l’homme de paille, ne peut s'exonérer de ses responsabilités légales en invoquant son rôle passif au sein de la société (arrêt du Tribunal fédéral 9C_289/2009 du 19 mai 2010 consid. 6.2), telle n’est pas la situation dans laquelle se trouve le recourant, à qui la qualité d’organe de fait ne peut être reconnue, comme indiqué supra. Par surabondance et quoi qu’il en soit, en admettant même que cette qualité puisse lui être reconnue, on ne saurait voir de lien de causalité suffisant entre sa passivité et le dommage subi par la caisse de compensation, dès lors qu’effectivement, le recourant ne pouvait se douter, au vu des liquidités de la société fin 2018 et des sommes encore encaissées courant 2019, que les gérants avaient pour objectif d’empocher l’argent avant de disparaître. On rappellera que s’il ressortait effectivement du décompte final rectificatif de la caisse portant sur la période du 1er février au 31 décembre 2018, émis en janvier 2019, qu’une somme de CHF 10'058.35 était à régler, la caisse a accepté de prolonger le délai de paiement. Un rappel a été émis le 1er mai 2019, une poursuite engagée le 17 juin 2019 et le recourant a démissionné le 9 juillet 2019, soit quelques semaines plus tard à peine. Ce sont donc bien les malversations des frères C______ et D______ qui sont à l’origine du dommage, bien plus que la passivité relative et très limitée dans le temps du recourant.</w:t>
      </w:r>
    </w:p>
    <w:p>
      <w:r>
        <w:rPr>
          <w:b/>
        </w:rPr>
        <w:t>E. 8</w:t>
      </w:r>
    </w:p>
    <w:p>
      <w:r>
        <w:t>Eu égard à ce qui précède, le recours est admis. La décision litigieuse est annulée. Le recourant obtenant gain de cause, l’intimée lui versera un montant de CHF 2'800.- à titre de dépens (art. 61 let. g LPGA, art. 6 du règlement sur les frais, émoluments et indemnités en matière administrative du 30 juillet 1986 [RFPA - E 5 10.03]). Pour le surplus, la procédure est gratuite (art. 61 let. fbis LPGA a contrario et 89H al. 1 LPA).</w:t>
      </w:r>
    </w:p>
    <w:p>
      <w:r>
        <w:t>A/1797/2023 - 18/18 - PAR CES MOTIFS, LA CHAMBRE DES ASSURANCES SOCIALES : Statuant À la forme : 1. Déclare le recours recevable. Au fond : 2. L’admet. 3. Annule la décision du 13 avril 2023. 4. Condamne l’intimée à verser au recourant la somme de CHF 2'800.-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