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ATAS/104/2016 vom 28. Januar 2016</w:t>
      </w:r>
    </w:p>
    <w:p>
      <w:r>
        <w:t>GE Cour de justice, 2016-01-28, FR</w:t>
      </w:r>
    </w:p>
    <w:p>
      <w:r>
        <w:rPr>
          <w:b/>
        </w:rPr>
        <w:t xml:space="preserve">Quelle: </w:t>
      </w:r>
      <w:r>
        <w:t>https://mcp.opencaselaw.ch/entscheid/ge_gerichte_ATAS_104_2016</w:t>
      </w:r>
    </w:p>
    <w:p>
      <w:r>
        <w:t>FR: GE_GERICHTE ATAS/104/2016 du 28 janvier 2016</w:t>
      </w:r>
    </w:p>
    <w:p>
      <w:r>
        <w:t>IT: GE_GERICHTE ATAS/104/2016 del 28 gennaio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 tations prévues à l’art. 56 de la loi fédérale sur la partie générale du droit des assu- rances sociales, du 6 octobre 2000 (LPGA - RS 830.1) relatives à la loi fédérale sur l'assurance-maladie, du 18 mars 1994 (LAMal - RS 832.10).</w:t>
      </w:r>
    </w:p>
    <w:p>
      <w:r>
        <w:rPr>
          <w:b/>
        </w:rPr>
        <w:t>E. 2</w:t>
      </w:r>
    </w:p>
    <w:p>
      <w:r>
        <w:t>Sa compétence pour juger du cas d’espèce est ainsi établie.</w:t>
      </w:r>
    </w:p>
    <w:p>
      <w:r>
        <w:t>A/3556/2015 - 6/8 -</w:t>
      </w:r>
    </w:p>
    <w:p>
      <w:r>
        <w:rPr>
          <w:b/>
        </w:rPr>
        <w:t>E. 3</w:t>
      </w:r>
    </w:p>
    <w:p>
      <w:r>
        <w:t>a) Un des buts principaux de la LAMal est de rendre l’assurance-maladie obliga- 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la recourante, domiciliée en Suisse, est soumise à l’assurance obligatoire conformément à l’art. 3 al. 1 LAMal et qu’elle ne fait pas partie du cercle des personnes visées aux art. 2 à 6 OAMal.</w:t>
      </w:r>
    </w:p>
    <w:p>
      <w:r>
        <w:rPr>
          <w:b/>
        </w:rPr>
        <w:t>E. 4</w:t>
      </w:r>
    </w:p>
    <w:p>
      <w:r>
        <w:t>Le financement de l'assurance-maladie sociale repose ainsi sur les assurés et les pouvoirs publics. Il dépend donc étroitement de l'exécution de leurs obligations pé- 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 seil fédéral concernant la révision de l’assurance-maladie du 6 novembre 1991, FF 1992 I 124 d art. 4).</w:t>
      </w:r>
    </w:p>
    <w:p>
      <w:r>
        <w:rPr>
          <w:b/>
        </w:rPr>
        <w:t>E. 5</w:t>
      </w:r>
    </w:p>
    <w:p>
      <w:r>
        <w:t>En l’espèce, la caisse était incontestablement en droit de poursuivre la recourante pour le montant des primes impayées dont l’intéressée n’a pu produire la preuve qu’elle s’en serait effectivement acquittée, une partie du montant versé en mai 2015 ayant dû être affecté aux paiements d’arriérés plus anciens, non contestés par l’intéressée. S’agissant des frais de rappel et de mise en demeure, il convient de rappeler qu’ils sont prévus par l’art. 105b al. 3 OAMal. Aux termes de cette disposition, lorsque l’assuré a causé, par sa faute, des dépenses qui auraient pu être évitées par un paie- ment en temps opportun, l’assureur peut percevoir, dans une mesure appropriée, des frais administratifs si une telle mesure est prévue par les conditions générales sur les droits et les obligations de l’assuré. La perception de tels frais et donc légitime, de même que l’intérêt de 5% par année prévu par l’art. 26 al. 2 LPGA.</w:t>
      </w:r>
    </w:p>
    <w:p>
      <w:r>
        <w:t>A/3556/2015 - 7/8 - Par ailleurs, l’art. 68 al. 1 de la loi fédérale du 11 avril 1889 sur la poursuite pour dettes et la faillite (LP) prévoit expressément que les frais de poursuite sont à la charge du débiteur, même si le créancier en fait l’avance. Eu égard à ce qui précède, il apparaît que les primes de mai à octobre 2014 restent dues et que la caisse était en droit de poursuivre le recourant pour les montants de primes impayées (ATF 125 V 276). Le fait que le montant réclamé par l’intimée ait été revu à la baisse n’oblige en rien cette dernière à introduire de nouvelles poursuites à l’encontre de la recourante. Il suffit de limiter la mainlevée au montant désormais réclamé. En revanche, il appar- tiendra à l’intimée d’introduire des poursuites à l’encontre du fils de la recourante quant aux montants qui le concernent. Le montant des rappels n’étant pas fixé en fonction du montant dû, il n’y a pas lieu de le réduire. Quant aux sommations, c’est à juste titre que l’intimée les a maintenues, la recou- rante ayant expressément demandé à être la destinataire des décomptes concernant son fils. Le montant des intérêts sera communiqué à la recourante par l’intimée à sa de- mande. En conséquence, le recours est rejeté. La Cour de céans renonce à mettre à la charge de la recourante une amende pour téméraire plaideur dans le cas présent.</w:t>
      </w:r>
    </w:p>
    <w:p>
      <w:r>
        <w:t>A/3556/2015 - 8/8 -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