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ATAS/104/2013 vom 4. Februar 2013</w:t>
      </w:r>
    </w:p>
    <w:p>
      <w:r>
        <w:t>GE Cour de justice, 2013-02-04, FR</w:t>
      </w:r>
    </w:p>
    <w:p>
      <w:r>
        <w:rPr>
          <w:b/>
        </w:rPr>
        <w:t xml:space="preserve">Quelle: </w:t>
      </w:r>
      <w:r>
        <w:t>https://mcp.opencaselaw.ch/entscheid/ge_gerichte_ATAS_104_2013</w:t>
      </w:r>
    </w:p>
    <w:p>
      <w:r>
        <w:t>FR: GE_GERICHTE ATAS/104/2013 du 4 février 2013</w:t>
      </w:r>
    </w:p>
    <w:p>
      <w:r>
        <w:t>IT: GE_GERICHTE ATAS/104/2013 del 4 febbraio 2013</w:t>
      </w:r>
    </w:p>
    <w:p>
      <w:pPr>
        <w:pStyle w:val="Heading2"/>
      </w:pPr>
      <w:r>
        <w:t>Regeste</w:t>
      </w:r>
    </w:p>
    <w:p>
      <w:r>
        <w:t>Résumé: Selon la chambre des assurances sociales : Avant de suspendre effectivement une rente d'invalidité, l'OAI doit rendre une décision formelle incidente, la décision portant sur une prestation importante qui ne peut pas faire l'objet de la procédure simplifiée prévue par l'art. 51 LPGA. En effet, l'autorité doit avertir l'assuré et lui permettre de s'exprimer avant de suspendre la rente, faute de quoi elle viole son droit d'être entendu. Lorsqu'il existe un sérieux doute quant à la violation par l'assuré de son obligation d'annoncer un changement dans sa vie professionnelle et que la procédure de révision devrait pouvoir être menée rapidement car elle porte uniquement sur les revenus éventuellememnt réalisés par l'assuré, l'intérêt de celui-ci à pouvoir bénéficier de sa rente pendant la procédure de révision l'emporte sur l'intérêt de l'administration à pouvoir récupérer les rentes servies à tort. Selon le Tribunal fédéral : Bien que l'art. 25 al. 1 LPGA garantisse le droit du recourant d'exiger la restitution des prestations versées en trop s'il s'avérait à l'issue de la procédure de révision que la rente d'invalidité devait finalement être supprimée ou réduite rétroactivement (cf. art. 88bis al. 2 let b RAI), la mise en oeuvre de ce droit paraît fortement compromise. En effet, l'assuré ne perçoit pour seuls revenus que sa rente de l'assurance-invalidité et celle de la prévoyance professionnelle (d'environ 1'700 fr. par mois), ainsi que des droits de ses compositions musicales, dont on ignore au demeurant le montant et la fréquence. Par cosnéquent, il ne serait vraisemblablement pas à même de rembourser les prestations perçues à tort et une éventuelle demande de restitution de la part de l'office AI serait susceptible de mettre celui-ci dans une situation difficile.</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A/3728/2012 - 6/14 -</w:t>
      </w:r>
    </w:p>
    <w:p>
      <w:r>
        <w:rPr>
          <w:b/>
        </w:rPr>
        <w:t>E. 2</w:t>
      </w:r>
    </w:p>
    <w:p>
      <w:r>
        <w:t>L'objet du litige concerne la question du bien-fondé de la suspension de la rente d'invalidité du recourant et, préalablement, celle de la recevabilité du recours.</w:t>
      </w:r>
    </w:p>
    <w:p>
      <w:r>
        <w:rPr>
          <w:b/>
        </w:rPr>
        <w:t>E. 3</w:t>
      </w:r>
    </w:p>
    <w:p>
      <w:r>
        <w:t>a) En l'espèce, la décision litigieuse est le courrier de l'intimé du 12 novembre 2012 informant le recourant de la suspension antérieure de sa rente. L'intimé conclut à l'irrecevabilité du recours au motif qu'aucune décision formelle n'a encore été rendue alors que le recourant conclut à la recevabilité de son recours, la décision du 12 novembre 2012 devant être considérée comme attaquable puisque la suspension de la rente est effective et correspond à une mesure individuelle et concrète ayant pour objet de modifier ou d'annuler le droit à la rente. b)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Selon l'art. 51 LPGA, les prestations, créances et injonctions qui ne sont pas visées à l’art. 49, al. 1, peuvent être traitées selon une procédure simplifiée (al. 1). L’intéressé peut exiger qu’une décision soit rendue (al. 2). Selon l'art. 52 al. 1 LPGA, les décisions peuvent être attaquées dans les trente jours par voie d’opposition auprès de l’assureur qui les a rendues, à l’exception des décisions d’ordonnancement de la procédure, celles-ci étant directement attaquables devant les tribunaux cantonaux des assurances (ATF du 8 mai 2007 I 915/2006). Selon l'art. 69 al. 1 let. a LAI, en dérogation aux art. 52 et 58 LPGA, les décisions des offices AI cantonaux peuvent directement faire l’objet d’un recours devant le tribunal des assurances du domicile de l’office concerné. c) La notion de décision (art. 49 al. 1 LPGA) n'est pas définie dans la LPGA. Elle correspond cependant à la notion de décision au sens de l'art. 5 de la Procédure administrative (PA) (KIESER, op. cit., n. 2 ss ad art. 49), qui a une portée générale en matière d'assurances sociales (voir par exemple ATF 120 V 349 consid. 2b). Selon l'art. 5 al. 1 PA, sont considérées comme des décisions les mesures de l'autorité dans des cas d'espèce, fondées sur le droit public fédéral ayant pour objet :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2e édition mise à jour et augmentée, Berne 2002, p. 226; BENOÎT BOVAY,</w:t>
      </w:r>
    </w:p>
    <w:p>
      <w:r>
        <w:t>A/3728/2012 - 7/14 -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 18 ad art. 52). Est également mentionnée la décision sur la compétence au sens de l'art. 35 LPGA (BERNARD ROLLI, La partie générale du droit des assurances sociales [Les points forts de la nouvelle LPGA], dans In dubio, 2003 pp. 27 et 41, n. 49) (ATF 131 V 42). d) Le système particulier de l'art. 51 al. 1 LPGA prévoit que les prestations, créances et injonctions qui ne sont pas importantes ou avec lesquelles l'intéressé est d'accord (art. 49 al. 1 LPGA a contrario) peuvent être traitées selon une procédure simplifiée, à savoir sans décision formelle. L'intéressé peut toutefois exiger qu'une décision soit rendue (art. 51 al. 2 LPGA), ce qu'il doit faire, selon le Tribunal fédéral, en principe dans le délai d'une année (ATF 134 V 145, 151 ss). Un acte d'une autorité peut être considéré comme une décision s'il possède les caractéristiques matérielles de celle-ci, quand bien même il ne serait pas désigné comme tel et ne respecterait pas les exigences de forme applicables en l'espèce (JAAC 2006/70 n° 35, CRP; dans le même sens, insistant sur la distinction entre la notion de décision et la forme de celle-ci (ATAF 2009/43 consid. 1.1.4 et 1.1.6). La forme des décisions est en général écrite (art. 34 al. 1 PA; sur le plan cantonal, notamment art. 46 al. 2 LPA/GE, 68 al. 1 CPJA/FR), la transmission pouvant, à certaines conditions, se faire par voie électronique (art. 34 al. 1bis PA). Le prononcé d'une décision peut toutefois, suivant les circonstances, intervenir d'une autre manière : orale (art. 34 al. 2 PA pour les décision incidentes), voire par signe (art. 66 OSR sur les injonctions données par la police en matière de circulation). La forme de la décision est évidemment liée à la notification de celle-ci, c'est-à-dire à sa communication à ses destinataires et à ceux qui disposent d'une voie de recours. La notification des décisions à leurs destinataires est la condition de leur opposabilité à ceux à qui elles imposent des obligations. La notification aux personnes disposant d'un droit d'opposition ou de recours apparaît aussi comme indispensable à la jouissance effective de ce droit et c'est elle qui fait partir les délais pour l'exercer (selon T. TANQUEL, Manuel de droit administratif, 2011 n° 807 - 814 - 815). e) En l'espèce, la suspension de la rente a été exécutée en octobre 2012, suite au courrier de l'OAI à la caisse du 12 octobre 2012. Aucune décision formelle ou même avertissement écrit n'a été notifié au recourant par l'intimé avant l'exécution de la suspension. Dans ces conditions, la question peut se poser de savoir si l'acte même de cesser le versement de la rente pourrait constituer une décision susceptible</w:t>
      </w:r>
    </w:p>
    <w:p>
      <w:r>
        <w:t>A/3728/2012 - 8/14 - de recours. Elle peut toutefois rester ouverte dès lors que le recourant a finalement contesté le courrier de l'OAI du 12 novembre 2012. S'agissant de celui-ci, l'intimé expose qu'il s'agit d'une décision d'ordonnancement de la procédure et qu'en matière de mesure provisionnelle une décision formelle ne doit être rendue que sur demande écrite et motivée de l'intéressé. Il est douteux que la suspension de la rente puisse être qualifiée de décision d'ordonnancement de la procédure. Quoi qu'il en soit, cette dernière serait attaquable par devant la Cour de céans. Par ailleurs, l'intimé, en exigeant du recourant qu'il requiert une décision formelle, semble appliquer la procédure simplifiée de l'art. 51 al. 1 LPGA. Or, cette procédure ne saurait s'appliquer en présence d'une suspension immédiate d'une rente d'invalidité dès lors, que d'une part, il s'agit manifestement d'une décision portant sur une prestation importante et que, d'autre part, l'intimé ne pouvait partir du principe que le recourant était d'accord avec une telle mesure, au sens de l'art. 49 al. 1 LPGA. Force est ainsi de constater que l'intimé aurait dû rendre une décision formelle incidente concernant la suspension de la rente du recourant antérieurement à la suspension effective de celle-ci et qu'il a appliqué à tort la procédure simplifiée de l'art. 51 LPGA. Dans un tel cas, le Tribunal fédéral considère que la décision attaquée n'est pas nulle, ni même annulable mais que l'intéressé doit requérir dans un délai maximum d'une année une décision formelle (ATF 134 V 145) et que l'assurance est alors tenue de rendre une telle décision ouvrant les voies de droit. En l'occurrence, constatant qu'il n'avait pas reçu le montant de sa rente d'invalidité à fin octobre 2012, le recourant a requis des informations par téléphone à l'OAI le 9 novembre 2012, lequel lui a alors communiqué le courrier du 12 novembre 2012 lui confirmant la suspension de sa rente d'invalidité. En application de la jurisprudence précitée (ATF 134 V 145), il y a lieu d'admettre que le téléphone du recourant à l'OAI du 9 novembre 2012 vaut demande de décision formelle (art. 51 al. 2 LPGA) et que le courrier litigieux du 12 novembre 2012 vaut décision formelle susceptible de recours, étant constaté que le défaut d'indication des voies de droit n'a pas eu de conséquence pour le recourant, celui-ci ayant saisi la Cour de céans le 7 décembre 2012 à l'encontre de cette décision; cette solution est d'autant plus justifiée qu'au jour du recours l'intimé n'avait toujours pas rendu de décision formelle à la suite du courrier du recourant du 21 novembre 2012. Partant, le recours, interjeté à l'encontre du courrier de l'intimé du 12 novembre 2012, dans un délai de 30 jours (art. 60 al. 1 LPGA) doit être déclaré recevable.</w:t>
      </w:r>
    </w:p>
    <w:p>
      <w:r>
        <w:t>A/3728/2012 - 9/14 -</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31 al. 1 LAI, si un assuré ayant droit à une rente perçoit un nouveau revenu ou que son revenu existant augmente, sa rente n’est révisée conformément à l’art. 17, al. 1, LPGA que si l’amélioration du revenu dépasse 1500 francs par an. L'alinéa 2, en vigueur jusqu'au 31 décembre 2011, prévoyait que seuls les deux tiers du montant dépassant le seuil de 1'500 fr. sont pris en compte lors de la révision de la rente. Selon l'art. 85 al. 2 RAI,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est applicable. Selon l'art. 88bis al. 2 RAI, la diminution ou la suppression de la rente, de l’allocation pour impotent ou de la contribution d’assistance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b) Au vu de ce qui précède, une décision de suspension de la rente du recourant, avec effet rétroactif à octobre 2012, ne peut être prise par l'intimé que si le recourant a violé son devoir d'aviser l'intimé au sens de l'art. 77 RAI, soit d'annoncer à celui-ci tout changement important pouvant avoir des répercussions sur son droit aux prestations, en particulier les changements concernant son travail et sa situation économique. Dans le cas contraire, la rente du recourant ne peut être suspendue que pour l'avenir.</w:t>
      </w:r>
    </w:p>
    <w:p>
      <w:r>
        <w:t>A/3728/2012 - 10/14 - c) Une telle décision, qui suspend à titre provisoire une rente d'invalidité est une mesure provisionnelle (ATF du 3 mars 2010 9C 10616/2009; ATAS/1042/2010 du 14 octobre 2010).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278/2002). d) 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Est cependant réservé l'art. 97 de la loi fédérale sur l’assurance-vieillesse et survivants du 20 décembre 1946 (LAVS ; RS 831.10), applicable par analogie à l'assurance-invalidité en vertu de l'art. 66 LAI, qui permet à la caisse de compensation de prévoir dans sa décision qu'un éventuel recours n'aura pas d'effet suspensif, même si la décision porte sur une prestation pécuniaire.</w:t>
      </w:r>
    </w:p>
    <w:p>
      <w:r>
        <w:t>A/3728/2012 - 11/14 - L'entrée en vigueur de la LPGA n'a rien changé à la jurisprudence en matière de retrait par l'administration de l'effet suspensif à une opposition ou à un recours ou de restitution de l'effet suspensif (ATF du 20 avril 2005, I 196/05, consid. 4.3). Ainsi, la possibilité de retirer l'effet suspensif au recours n'est pas subordonnée à la condition qu'il existe, dans le cas particulier, des circonstances tout à fait exceptionnelles qui justifient cette mesure (ATF du 26 octobre 2006, I 5400/06,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du 14 novembre 2005, I 63/05, consid. 5.3; ATF 119 V 503, consid. 4; ATF 105 V 266, consid. 3).</w:t>
      </w:r>
    </w:p>
    <w:p>
      <w:r>
        <w:rPr>
          <w:b/>
        </w:rPr>
        <w:t>E. 5</w:t>
      </w:r>
    </w:p>
    <w:p>
      <w:r>
        <w:t>a) Les mesures provisionnelles étant des décisions, les règles de procédure administrative s'y appliquent, notamment le droit d'être entendu. Il est cependant des situations où l'urgence est telle que l'autorité peut prendre des mesures sans entendre préalablement les parties (art. 30 al. 2 let. e PA, infra n° 1534), voire sans procéder à une notification formelle (voir p. ex. art. 133 al. 2 LCI/GE). Ces mesures, que l'on peut qualifier de "superprovisionnelles", devront, en tout cas si elles ont des effets durables, être régularisées par une décision en bonne et due forme, avec respect du droit d'être entendu, dès que possible (ATF 126 II 111, 123; MOOR/POLTIER p. 306, T. TANQUEL, op cit n° 845).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p. 370 et les références; ATF 9C 1016/2009 du 3 mars 2010). b) En l'espèce, le droit d'être entendu du recourant a été violé par l'intimé qui a suspendu la rente d'invalidité du recourant sans l'en avertir préalablement et sans lui permettre de s'exprimer avant de prendre cette mesure, étant relevé que l'on ne se</w:t>
      </w:r>
    </w:p>
    <w:p>
      <w:r>
        <w:t>A/3728/2012 - 12/14 - trouve pas en présence d'une situation où l'urgence est telle que l'autorité pourrait rendre une mesure superprovisionnelle. Toutefois, en application de la jurisprudence du Tribunal fédéral, force est d'admettre que ce droit a été réparé dans le cadre de la présente procédure, le recourant s'étant exprimé tant dans ses observations du 4 octobre 2012 que dans son courrier à l'OAI du 21 novembre 2012 et dans son recours du 7 décembre 2012 (ATF du 3 mars 2010 9C 1016/2009; ATF 127 V 431).</w:t>
      </w:r>
    </w:p>
    <w:p>
      <w:r>
        <w:rPr>
          <w:b/>
        </w:rPr>
        <w:t>E. 6</w:t>
      </w:r>
    </w:p>
    <w:p>
      <w:r>
        <w:t>Sur le fond, il existe en l'espèce de sérieux doutes quant à une violation par le recourant de son obligation d'annoncer un changement dans sa situation professionnelle; d'une part, au vu des pièces du dossier, il n'apparaît pas que le recourant aurait réalisé un revenu de ses diverses activité artistiques, en particulier au vu des activités présentées sur internet, lesquelles se rapportent principalement aux années avant l'octroi de la rente d'invalidité (selon décisions de 2008), hormis des concerts donnés une fois en 2008, en 2009, en 2010 et en 2012 et une participation à la création d'un disque en 2012 ainsi qu'au vu des avis de taxation 2008, 2009 et 2010 lesquels ne font état que de revenus supplémentaires de 4'589 fr. et 1'737 fr. en 2009 et 2010; d'autre part, le recourant a expliqué de façon constante qu'il n'avait pas d'activité rémunérée depuis 2008 mais qu'il s'investissait dans le domaine de la musique, activité encouragée par son psychiatre, en écrivant des chansons et en faisant leur promotion virtuelle sur internet (procès-verbal d'entretien du 18 septembre 2012 p. 3), ce qui ressort également de l'examen SMR du 5 décembre 2007 dont le rapport y relatif mentionne que le recourant fait de la musique et produit des disques de rock. Or, l'intimé ne prétend pas que le recourant aurait exercé une nouvelle activité rémunérée fixe, que ce soit à son compte ou pour un employeur. Il ne prétend pas non plus que le recourant aurait réalisé un salaire d'une ampleur telle que son degré d'invalidité serait désormais inférieur à 70 % (art. 28 LAI), compte tenu également des déductions prévues par l'art. 31 LAI qu'il convient d'appliquer en cas de révision de la rente d'invalidité (ATF du 18 janvier 2012 9C 518/2011). Au vu de ce qui précède, on constate que l'activité de musicien et de producteur de disques était déjà annoncée et connue de l'intimé avant les décisions de rente de 2008, le rapport du SMR du 14 janvier 2008 en faisait spécifiquement état. Certes, le dossier du recourant mérite une instruction plus approfondie. Toutefois, la pesée des intérêts en présence, soit l'intérêt du recourant à pouvoir bénéficier de sa rente pendant la durée de la procédure de révision et l'intérêt de l'administration à pouvoir récupérer les rentes qui seraient par hypothèse servies à tort dans le cas où une activité lucrative du recourant n'aurait pas été annoncée par celui-ci et aboutirait à la diminution, voire à la suppression de sa rente, commande le maintien de la rente d'invalidité du recourant, ce d'autant que la procédure de révision, qui ne porte pas sur l'aspect médical du dossier mais uniquement sur les revenus éventuellement réalisés par le recourant, devrait pouvoir être menée rapidement par l'intimé.</w:t>
      </w:r>
    </w:p>
    <w:p>
      <w:r>
        <w:t>A/3728/2012 - 13/14 -</w:t>
      </w:r>
    </w:p>
    <w:p>
      <w:r>
        <w:rPr>
          <w:b/>
        </w:rPr>
        <w:t>E. 7</w:t>
      </w:r>
    </w:p>
    <w:p>
      <w:r>
        <w:t>Au vu de ce qui précède, le recours sera admis et la décision du 12 novembre 2012 sera annulée. Le recourant obtenant gain de cause, une indemnité de 600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A/3728/2012 - 14/14 -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