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ATAS/104/2010 vom 3. Februar 2010</w:t>
      </w:r>
    </w:p>
    <w:p>
      <w:r>
        <w:t>GE Cour de justice, 2010-02-03, FR</w:t>
      </w:r>
    </w:p>
    <w:p>
      <w:r>
        <w:rPr>
          <w:b/>
        </w:rPr>
        <w:t xml:space="preserve">Quelle: </w:t>
      </w:r>
      <w:r>
        <w:t>https://mcp.opencaselaw.ch/entscheid/ge_gerichte_ATAS_104_2010</w:t>
      </w:r>
    </w:p>
    <w:p>
      <w:r>
        <w:t>FR: GE_GERICHTE ATAS/104/2010 du 3 février 2010</w:t>
      </w:r>
    </w:p>
    <w:p>
      <w:r>
        <w:t>IT: GE_GERICHTE ATAS/104/2010 del 3 febbraio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déterminante de la décision litigieuse (ATF 130 V 230 consid. 1.1; 335 consid. 1.2; ATF 129 V 1 consid. 1; ATF 127 V 467 consid. 1, 126 V 136 consid. 4b et les références). Les règles de procédure quant à elles s'appliquent sans réserve dès le jour de son entrée en vigueur (ATF 117 V 93 consid. 6b, 112 V 360 consid. 4a; RAMA 1998 KV 37 p. 316 consid. 3b). En l'espèce, la décision litigieuse du 2 mars 2009 est postérieure à l'entrée en vigueur de la LPGA ainsi qu’à l’entrée en vigueur, le 1er janvier 2004, des modifications de la LAI du 21 mars 2003 (4ème révision) et, le 1er janvier 2008, des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rPr>
          <w:b/>
        </w:rPr>
        <w:t>E. 3</w:t>
      </w:r>
    </w:p>
    <w:p>
      <w:r>
        <w:t>Interjeté dans les forme et délai légaux, le présent recours est recevable (cf. art. 56 et 60 LPGA).</w:t>
      </w:r>
    </w:p>
    <w:p>
      <w:r>
        <w:t>A/1172/2009 - 11/20 -</w:t>
      </w:r>
    </w:p>
    <w:p>
      <w:r>
        <w:rPr>
          <w:b/>
        </w:rPr>
        <w:t>E. 4</w:t>
      </w:r>
    </w:p>
    <w:p>
      <w:r>
        <w:t>La question litigieuse est celle de savoir si c'est à bon droit que l'intimé refuse d'octroyer à la recourante une quelconque prestation.</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6</w:t>
      </w:r>
    </w:p>
    <w:p>
      <w:r>
        <w:t>a)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b) Lors de l'examen initial du droit à la rente, il faut examiner quelle méthode d'évaluation de l'invalidité il convient d'appliquer (art. 28 al. 2 et 3 LAI, en corrélation avec les art. 27 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assuré exerçant une activité lucrative à temps partiel. c)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w:t>
      </w:r>
    </w:p>
    <w:p>
      <w:r>
        <w:t>A/1172/2009 - 12/20 - 2003: art. 1 al. 1 LAI en corrélation avec l'art. 16 LPGA; depuis le 1er janvier 2004: art. 28 al. 2 LAI en corrélation avec l'art. 16 LPGA). d) L'invalidité des assurés qui n'exercent pas d'activité lucrative, en revanche, et dont on ne peut raisonnablement exiger qu'ils en entreprennent une est évaluée, en dérogation de la méthode ordinaire de comparaison des revenus, en fonction de l'incapacité d'accomplir leur travaux habituels. Par travaux habituels des personnes travaillant dans le ménage, il faut entendre notamment l'activité usuelle dans le ménage, l'éducation des enfants ainsi que toute activité artistique ou d'utilité publique. C'est la méthode spécifique (jusqu'au 31 décembre 2002: art. 28 al. 3 LAI en corrélation avec l'art. 27 al. 1 et 2 du règlement sur l'assurance-invalidité du 17 janvier 1961 - RAI; du 1er janvier au 31 décembre 2003: art. 28 al. 3 LAI en corrélation avec les art. 27 al. 1 et 2 RAI et 8 al. 3 LPGA; depuis le 1er janvier 2004: art. 28 al. 2bis LAI en corrélation avec les art. 27 RAI et 8 al. 3 LPGA).</w:t>
      </w:r>
    </w:p>
    <w:p>
      <w:r>
        <w:rPr>
          <w:b/>
        </w:rPr>
        <w:t>E. 7</w:t>
      </w:r>
    </w:p>
    <w:p>
      <w:r>
        <w: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 al. 2 ter LAI en corrélation avec les art. 27bis al. 1 et 2 RAI et 8 al. 3 LPGA, ainsi que l'art. 16 LPGA). f)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(ATF 125 V 150 consid. 2c et références). Cette évaluation tiendra également compte de la volonté hypothétique de l'assurée, qui comme fait interne ne peut être l'objet d'une administration directe de la preuve et doit être déduite d'indices extérieurs (arrêt du Tribunal fédéral des assurances I 693/06 du 20 décembre 2006 consid. 4.1) établis au degré de la vraisemblance prépondérante tel que requis en droit des assurances sociales (ATF 126 V 353 consid. 5b p. 360 s.). La notion de vraisemblance prépondérante signifie que l'existence d'un fait est plus vraisemblable que son absence (cf. ATF 111 V 374).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w:t>
      </w:r>
    </w:p>
    <w:p>
      <w:r>
        <w:t>A/1172/2009 - 13/20 - des assurances sociales, un principe selon lequel l'administration ou le juge devrait statuer, dans le doute, en faveur de l'assuré (ATF 126 V 322 consid. 5a).</w:t>
      </w:r>
    </w:p>
    <w:p>
      <w:r>
        <w:rPr>
          <w:b/>
        </w:rPr>
        <w:t>E. 8</w:t>
      </w:r>
    </w:p>
    <w:p>
      <w:r>
        <w:t>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w:t>
      </w:r>
    </w:p>
    <w:p>
      <w:r>
        <w:rPr>
          <w:b/>
        </w:rPr>
        <w:t>E. 9</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b)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w:t>
      </w:r>
    </w:p>
    <w:p>
      <w:r>
        <w:rPr>
          <w:b/>
        </w:rPr>
        <w:t>E. 10</w:t>
      </w:r>
    </w:p>
    <w:p>
      <w:r>
        <w:t>Dans le cas particulier, pour calculer le degré d'invalidité, l'OCAI a pris en considération le fait que la recourante exerçait son activité professionnelle à un taux de 80% et a par conséquent appliqué la méthode mixte de comparaison des revenus. La recourante conteste ce point de vue, alléguant qu'en bonne santé, elle aurait été contrainte d'exercer une activité lucrative à 100% dès lors que son ex-mari n'est plus en mesure de s'acquitter de la pension alimentaire qu'il lui était jusqu'alors versée. Par conséquent, il conviendrait de faire application de la méthode générale de comparaison des revenus et non de la méthode mixte. Cet argument n'est pas déterminant en l'espèce. En effet, d’une part, les organes de l'assurance-invalidité n'ont pas pour rôle de suppléer aux manquements alimentaires entre époux, étant relevé que la recourante a la possibilité de s'adresser par exemple</w:t>
      </w:r>
    </w:p>
    <w:p>
      <w:r>
        <w:t>A/1172/2009 - 14/20 - au SCARPA qui a été instauré dans ce but. D’autre part, le Tribunal de céans constate que, depuis son engagement au sein des HUG en 2003, la recourante n'a jamais travaillé à un taux supérieur à 80 %, justifiant elle-même ce choix par la volonté d'être présente notamment dans l'éducation de ses enfants. Par ailleurs, le fait que pendant qu'elle exerçait son activité de coordinatrice, il lui arrivait d'accepter des mandats externes n'est pas un élément susceptible de modifier l'appréciation du taux d'activité exercée avant l'invalidité, dès lors que lesdits mandats étaient plutôt rares (un à deux par année) et qu'elle n'était, d'autre part, pas toujours rémunérée pour cette activité. Il ne peut dès lors être considéré, avec un degré de vraisemblance suffisant, que la recourante aurait augmenté son temps de travail si elle avait été en bonne santé, de sorte que c'est à juste titre que l'OCAI a appliqué, en l'espèce, la méthode mixte.</w:t>
      </w:r>
    </w:p>
    <w:p>
      <w:r>
        <w:rPr>
          <w:b/>
        </w:rPr>
        <w:t>E. 11</w:t>
      </w:r>
    </w:p>
    <w:p>
      <w:r>
        <w:t>L'OCAI a nié un quelconque droit au versement d'une rente au motif que la perte économique de l'assurée était de 20 % seulement. Il s'est référé au rapport du Professeur O__________ du 28 août 2008, consécutif à l'examen neuropsychologique de la Dresse R__________, selon lequel la capacité de travail de l'assurée était de 60% dans son activité de responsable de formation et de 50% dans une activité d'enseignante ; le Professeur avait ajouté qu'il estimait actuellement la capacité de travail dans toute activité adaptée à 60 % et que cette dernière devait augmenter à 80% dans les mois à venir. Toutefois, dans son rapport du 25 juin 2009, le Professeur O__________ a indiqué que la capacité de travail de la recourante était diminuée et qu'il l'estimait à présent à 50% en tant que coordinatrice, enseignante ou dans une autre activité. Dans la mesure où l'état de santé de la recourante n'a pas évolué depuis le 28 août 2008 jusqu'au 25 juin 2009, il convient d'en déduire que la capacité résiduelle avait été quelque peu surestimée, le 28 août 2008, et que c'est un taux de 50 % qu'il convient en définitive de retenir. Ce rapport médical et son complément en tant qu'il retient une capacité de travail de 50 %, n'a pas été contesté par la recourante. Elle se contente d’affirmer que le Professeur O__________ ne connaît pas les exigences inhérentes au poste de coordinatrice, argument qui ne saurait être retenu, sans autre motivation. Or, aucun élément ou indice ne permet de douter de sa validité de sorte qu'il convient de reconnaître pleine valeur probante aux rapports des 28 août 2008 et 25 juin 2009. De surcroît, les faits démontrent que le poste d'enseignante à tout le moins est adapté à l'état de santé de la recourante puisque cette dernière a exercé cette activité après son accident. Bien qu'elle allègue que cette activité à 80 % est pour elle trop lourde, elle ne conteste toutefois pas qu'un taux de 50 % n'était pas adapté à son état de santé. L'appréciation du Professeur O__________ correspond d’ailleurs aux certificats médicaux établis par le médecin traitant de la recourante desquels il ressort que cette dernière était capable de travailler à raison de 50 % pendant près d'une année. Enfin, l'allégation de la recourante selon laquelle son employeur aurait</w:t>
      </w:r>
    </w:p>
    <w:p>
      <w:r>
        <w:t>A/1172/2009 - 15/20 - déclaré par courriel que cette dernière n'était pas capable d'assumer le poste de coordinatrice, n'est pas déterminante en tant qu'elle concerne uniquement ce poste de coordinatrice ; elle ne saurait par ailleurs l'emporter sur un rapport établi par un médecin et doit être nuancée. En effet, il ressort en réalité de ce courriel que l'employeur a déclaré que l'assurée présentait des difficultés à répondre sur le moyen terme aux exigences du poste, ce qui ne signifie encore pas qu'elle n'est pas en mesure d'assumer cette fonction. Il résulte de ce qui précède qu'une activité à raison de 80 % n’est actuellement pas adaptée à l'état de santé de l'assurée, dans la mesure où pour pouvoir assumer ce taux d'activité, la recourante a dû prendre des vacances et s'est trouvée en incapacité de travail durant une semaine. En revanche, elle est en mesure d'exercer son activité précédente d'enseignante à raison de 50%.</w:t>
      </w:r>
    </w:p>
    <w:p>
      <w:r>
        <w:rPr>
          <w:b/>
        </w:rPr>
        <w:t>E. 12</w:t>
      </w:r>
    </w:p>
    <w:p>
      <w:r>
        <w:t>Il convient à présent de déterminer le degré d'invalidité de l'assurée selon la méthode mixte de comparaison des revenus, étant précisé que le salaire qu'elle perçoit en qualité d'enseignante a été bloqué jusqu'en 2019 de sorte qu'il est équivalent à celui qu'elle percevait comme coordinatrice. S’agissant des empêchements rencontrés dans le ménage, il convient de se référer à l’enquête économique sur le ménage - non contestée par la recourante -, dont il résulte des empêchements à hauteur de 25,9%. Le degré d’invalidité se calcule selon l'équation suivante : E x IE ([EZ-E] x H)</w:t>
      </w:r>
    </w:p>
    <w:p>
      <w:r>
        <w:t>EZ</w:t>
      </w:r>
    </w:p>
    <w:p>
      <w:r>
        <w:t>E = travail fourni par les assurés en tant que personnes non invalides exerçant une activité lucrative, en heures par semaine IE = handicap rencontré en tant que personne exerçant une activité lucrative, en % EZ = durée de travail normale des personnes exerçant une activité lucrative à plein temps dans la branche d'activité concernée, en heure par semaine H = handicap rencontré dans le ménage, en % soit en l’occurrence : 32 x 50 % + ([ 40-32] x 25.9 % = 45.18 %</w:t>
      </w:r>
    </w:p>
    <w:p>
      <w:r>
        <w:t>40</w:t>
      </w:r>
    </w:p>
    <w:p>
      <w:r>
        <w:t>A/1172/2009 - 16/20 - Ce taux d’invalidité ouvre droit, conformément à l’art. 28 al. 1 let. b LAI, à un quart de rente.</w:t>
      </w:r>
    </w:p>
    <w:p>
      <w:r>
        <w:rPr>
          <w:b/>
        </w:rPr>
        <w:t>E. 13</w:t>
      </w:r>
    </w:p>
    <w:p>
      <w:r>
        <w:t>La 5ème révision a modifié les règles relatives à la naissance du droit à la rente. En effet, selon l’art. 29 al. 1 LPGA, pour autant que les conditions du droit soient réunies (art. 28 al. 1 LAI), le droit à la rente prend naissance au plus tôt à l’échéance d’une période de six mois à compter de la date à laquelle l’assuré a fait valoir son droit aux prestations. En l’espèce, il convient de relever que le cas d’assurance est survenu avant le 1er janvier 2008, le délai de carence ayant commencé à courir dès le 1er février 2007. Dès lors que le délai de carence était échu le 1er février 2008 et que la demande de prestations a été déposée avant le 31 décembre 2008, la rente peut être versée dès l’échéance du délai d’attente, soit en l’occurrence le 1er février 2008 (cf. Lettre- circulaire n° 253 de l’OFAS, du 12 décembre 2007 : La 5ème révision de l’AI et le droit transitoire).</w:t>
      </w:r>
    </w:p>
    <w:p>
      <w:r>
        <w:rPr>
          <w:b/>
        </w:rPr>
        <w:t>E. 14</w:t>
      </w:r>
    </w:p>
    <w:p>
      <w:r>
        <w:t>La recourante sollicite des mesures d’ordre professionnel.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Le droit au reclassement suppose que l’assuré soit invalide ou menacé d’une invalidité imminente (art. 8 al. 1er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1er LAI), la loi ne dit pas à partir de quel degré d’invalidité l’assuré peut prétendre à des mesures de réadaptation.</w:t>
      </w:r>
    </w:p>
    <w:p>
      <w:r>
        <w:t>A/1172/2009 - 17/20 -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w:t>
      </w:r>
    </w:p>
    <w:p>
      <w:r>
        <w:rPr>
          <w:b/>
        </w:rPr>
        <w:t>E. 15</w:t>
      </w:r>
    </w:p>
    <w:p>
      <w:r>
        <w:t>En l'espèce, l'assurée a déjà bénéficié d'une formation pour dispenser des cours dans le domaine de la méditation et du tai-chi, en tant que mesures d'intervention précoces. Elle souhaite, à présent, trouver un emploi mieux rémunéré correspondant à ses compétences. Dans ces circonstances, elle aimerait suivre une formation de médiateur professionnel, laquelle lui permettrait d'accéder à un salaire horaire plus élevé que celui d'enseignante et à une activité mieux adaptée à son état de santé, dans la mesure où, selon elle, dans une telle activité, le travail en groupe est très rare et les interventions de médiation se font rarement dans des situations de stress. A cet égard, le Tribunal rappellera, d'une part, que les mesures professionnelles doivent être nécessaires et, d'autre part, que l'assurée ne saurait choisir des mesures selon ses préférences personnelles. Or, il semble que la recourante ait perdu de vue ce principe, en souhaitant à présent suivre des cours de médiateur dès lors qu'une telle activité lui permettrait notamment d'accéder à un salaire horaire plus élevé. Qui plus est, il n'est pas certain qu'une telle activité soit adaptée à ses limitations. En effet, les médiateurs se trouvent régulièrement dans des situations stressantes, face à des parties parfois agressives en raison de situations inextricables dans lesquelles elles peuvent se trouver depuis plusieurs années. Ainsi, si la recourante estime que l'activité d'enseignante à plus de 50 % n'est pas adaptée à son état de santé, a fortiori, celle de médiateur ne l'est pas non plus. On voit d'ailleurs mal quelle autre activité serait, en l'espèce, envisageable. En effet, l'assurée a expliqué à plusieurs reprises être dans l'incapacité d'exercer une activité quelle qu'elle soit durant plus de sept heures. La seule activité qui lui semblait envisageable, en sus de</w:t>
      </w:r>
    </w:p>
    <w:p>
      <w:r>
        <w:t>A/1172/2009 - 18/20 - l'activité exercée aux HUG, était celle de la méditation pour laquelle elle a bénéficié d'une formation mais qui n'a visiblement pas apporté les bénéfices attendus. Cette situation a été confirmée par le Dr O__________, le 28 août 2008, ainsi que par l'enquête ménagère qui a mis en évidence des limitations relativement importantes dans ce domaine. Par conséquent, force est de constater que des mesures professionnelles ne peuvent entrer en ligne de compte, dès lors qu'elles ne pourraient déboucher sur une nouvelle activité adaptée.</w:t>
      </w:r>
    </w:p>
    <w:p>
      <w:r>
        <w:rPr>
          <w:b/>
        </w:rPr>
        <w:t>E. 16</w:t>
      </w:r>
    </w:p>
    <w:p>
      <w:r>
        <w:t>Au vu de ce qui précède, le recours doit être partiellement admis.</w:t>
      </w:r>
    </w:p>
    <w:p>
      <w:r>
        <w:rPr>
          <w:b/>
        </w:rPr>
        <w:t>E. 17</w:t>
      </w:r>
    </w:p>
    <w:p>
      <w:r>
        <w:t>La recourante a droit à une indemnité à titre de dépens, que le Tribunal fixe à 1'800 fr. (art. 89H LPA). L’OAI sera condamné au paiement d'un émolument de 500 fr. (art. 69 al. 1bis LAI)</w:t>
      </w:r>
    </w:p>
    <w:p>
      <w:r>
        <w:t>A/1172/2009 - 19/20 -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