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ATAS/1049/2022 vom 1. Dezember 2022</w:t>
      </w:r>
    </w:p>
    <w:p>
      <w:r>
        <w:t>GE Cour de justice, 2022-12-01, FR</w:t>
      </w:r>
    </w:p>
    <w:p>
      <w:r>
        <w:rPr>
          <w:b/>
        </w:rPr>
        <w:t xml:space="preserve">Quelle: </w:t>
      </w:r>
      <w:r>
        <w:t>https://mcp.opencaselaw.ch/entscheid/ge_gerichte_ATAS_1049_2022</w:t>
      </w:r>
    </w:p>
    <w:p>
      <w:r>
        <w:t>FR: GE_GERICHTE ATAS/1049/2022 du 1 décembre 2022</w:t>
      </w:r>
    </w:p>
    <w:p>
      <w:r>
        <w:t>IT: GE_GERICHTE ATAS/1049/2022 del 1 dicembre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73 de la loi fédérale sur la prévoyance professionnelle, vieillesse, survivants et invalidité du 25 juin 1982 [LPP – RS 831.40] ; art. 142 du Code civil suisse du 10 décembre 1907 [CC - RS 210]). Sa compétence pour juger du cas d’espèce est ainsi établie.</w:t>
      </w:r>
    </w:p>
    <w:p>
      <w:r>
        <w:rPr>
          <w:b/>
        </w:rPr>
        <w:t>E. 2</w:t>
      </w:r>
    </w:p>
    <w:p>
      <w:r>
        <w:t>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Partant, elle est recevable.</w:t>
      </w:r>
    </w:p>
    <w:p>
      <w:r>
        <w:rPr>
          <w:b/>
        </w:rPr>
        <w:t>E. 3</w:t>
      </w:r>
    </w:p>
    <w:p>
      <w:r>
        <w:t>Le litige porte sur le bien-fondé de la demande en condamnation au paiement des cotisations échues, ainsi que des intérêts et frais, formée par la demanderesse.</w:t>
      </w:r>
    </w:p>
    <w:p>
      <w:r>
        <w:rPr>
          <w:b/>
        </w:rPr>
        <w:t>E. 4</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w:t>
      </w:r>
    </w:p>
    <w:p>
      <w:r>
        <w:rPr>
          <w:b/>
        </w:rPr>
        <w:t>E. 6</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w:t>
      </w:r>
    </w:p>
    <w:p>
      <w:r>
        <w:t>A/230/2022 - 6/12 -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 ;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 cf. TERCIER/PICHONNAZ, Le droit des obligations, 2012, n. 1296). Si ni la preuve d’un intérêt moratoire conventionnel (en dérogation à l’art. 104 al. 1 CO), ni la preuve d’un intérêt conventionnel supérieur à 5 % (au sens de l’art. 104 al. 2 CO) ne sont apportées par le créancier, l’intérêt moratoire légal de 5 %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w:t>
      </w:r>
    </w:p>
    <w:p>
      <w:r>
        <w:rPr>
          <w:b/>
        </w:rPr>
        <w:t>E. 8</w:t>
      </w:r>
    </w:p>
    <w:p>
      <w:r>
        <w:t>L’objet du litige devant la juridiction cantonale est déterminé par les conclusions de la demande introduite (arrêt du Tribunal fédéral des assurances B.72/04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w:t>
      </w:r>
    </w:p>
    <w:p>
      <w:r>
        <w:t>A/230/2022 - 7/12 -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selon le contrat d’affiliation liant les parties, il est stipulé, à l’art. 6, que l’employeur est responsable envers la fondation du paiement de la totalité des cotisations et des coûts de la prévoyance professionnelle. La fondation est en droit d’exiger le paiement de ceux-ci directement auprès de l’employeur. L’échéance de la totalité des cotisations est fixée au 1er janvier, respectivement à la date de début de l’assurance ou de modification de l’assurance. À partir de ce moment, un intérêt est dû (art. 6 al. 2).</w:t>
      </w:r>
    </w:p>
    <w:p>
      <w:r>
        <w:rPr>
          <w:b/>
        </w:rPr>
        <w:t>E. 10.1</w:t>
      </w:r>
    </w:p>
    <w:p>
      <w:r>
        <w:t>La défenderesse s’est engagée à payer les cotisations sociales facturées par la demanderesse et n’a jamais fait valoir aucun motif justifiant qu’elle se soustraie au paiement, pas plus qu’elle n’a contesté les montants qui lui étaient réclamés par la demanderesse. Elle a, plusieurs fois, tardé à régler le montant des cotisations et indemnités réclamées. Elle a formé opposition au commandement de payer qui lui a été adressé en lien avec son obligation envers la demanderesse, sans motiver sa position. La demanderesse a établi, par décompte, les versements de la défenderesse et le montant de sa créance envers celle-ci, jusqu’au crédit du 30 juin 2021.</w:t>
      </w:r>
    </w:p>
    <w:p>
      <w:r>
        <w:rPr>
          <w:b/>
        </w:rPr>
        <w:t>E. 11</w:t>
      </w:r>
    </w:p>
    <w:p>
      <w:r>
        <w:t>S’agissant des frais administratifs, les art. 66 al. 1 LPP et 331 al. 3 CO fixent le principe de la parité des cotisations dans les domaines, respectivement obligatoire et surobligatoire. Ces deux dispositions n’exigent toutefois qu’une parité collective ou relative et non pas une parité individuelle : la somme des cotisations de l’employeur doit être au moins égale à la somme des cotisations des salariés. Cela n’exclut cependant pas que certains salariés aient à payer davantage que les autres, voire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w:t>
      </w:r>
    </w:p>
    <w:p>
      <w:r>
        <w:t>A/230/2022 - 8/12 -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possible pour autant qu’elle figure dans le règlement concernant les frais. En l’occurrence, le contrat d’affiliation prévoit à son art. 7 al. 4 la possibilité de prélever un montant pour des frais de sommation et de recouvrement, ces derniers étant fixés par le règlement des coûts. Le règlement des coûts prévoit sous la rubrique 2.4 « Procédure de sommation » des frais de CHF 100.- pour une sommation recommandée et de CHF 50.- pour un deuxième envoi d’une sommation recommandée. De plus, un montant de CHF 200.- est prélevé pour l’annonce obligatoire au comité de caisse. Compte tenu de ce qui précède, la chambre de céans constate que le règlement des coûts autorise la demanderesse à réclamer le paiement, non seulement des primes échues, mais également le montant des frais d’encaissement. S’agissant des frais de poursuite, la rubrique c. 2.5 « Mesures d’encaissement » du règlement des coûts prévoit des frais de CHF 500.- pour une réquisition de poursuite et de CHF 500.- pour une mainlevée d’opposition avec reconnaissance de dette. Dans son extrait de compte allant du 4 juillet 2019 jusqu’au 30 juin 2021, la demanderesse a récapitulé l’ensemble des mouvements de débit et de crédit, mentionnant les factures pour les contributions sociales, les frais de sommation, les frais d’information du comité de caisse, les frais de réquisition de poursuite ainsi que les intérêts. Le total des montants dus par la défenderesse à la demanderesse ressort de l’extrait de compte susmentionné et des documents fournis par cette dernière ; la chambre de céans considère que ces documents présentent un degré de vraisemblance prépondérante et le montant réclamé, soit CHF 16'191.90, doit être admis. À ce montant s’ajoutent des intérêts, par CHF 342.50 calculés au taux de 5 %, ce qui correspond au taux de l’intérêt moratoire et doit donc être admis. De même, un montant de CHF 500.- correspondant aux frais de poursuite, prévu par le règlement sur les coûts, s’additionne aux montants précédents.</w:t>
      </w:r>
    </w:p>
    <w:p>
      <w:r>
        <w:t>A/230/2022 - 9/12 - Le tout s’élevant à CHF 16'155.- (capital) + CHF 342.50 (intérêts) + CHF 500.- (frais de poursuite), soit au total CHF 16'997.50.-. Il ressort du décompte de la demanderesse que le crédit de subventions par CHF 805.80 a été pris en compte dans le montant réclamé auprès de la chambre de céans. Néanmoins, il n’a pas été pris en compte dans la réquisition de poursuite (ce qui s’explique par le fait que le crédit de subventions a été versé après que le commandement de payer a été notifié). Il faudra dès lors soustraire du montant réclamé dans la poursuite n° 1______ le crédit intervenu au profit de la défenderesse (soit 16'997–805.80 = CHF 16'191.90). Étant encore précisé que le moment à partir duquel les intérêts moratoires à hauteur de 5 % l’an sont réclamés correspond au 24 septembre 2020, c’est-à-dire au lendemain du dernier jour fixé à la défenderesse pour s’acquitter du solde dû (soit le 23 septembre 2019) selon la lettre de sommation et d’avertissement du retrait de la couverture d’assurance de la demanderesse du 9 septembre 2020. Les calculs étant corrects et correspondant aux obligations admises par la défenderesse, par signature du contrat d’affiliation, cette dernière sera condamnée à payer le montant de CHF 16'191.90 réclamé par la demanderesse, avec l’intérêt moratoire de 5 % dès le 24 septembre 2020.</w:t>
      </w:r>
    </w:p>
    <w:p>
      <w:r>
        <w:rPr>
          <w:b/>
        </w:rPr>
        <w:t>E. 12</w:t>
      </w:r>
    </w:p>
    <w:p>
      <w:r>
        <w:t>Reste à examiner la conclusion de la demanderesse tendant à obtenir la mainlevée définitive de l’opposition formée au commandement de payer dans la poursuite n° 1______.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w:t>
      </w:r>
    </w:p>
    <w:p>
      <w:r>
        <w:t>A/230/2022 - 10/12 -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à la défenderesse le</w:t>
      </w:r>
    </w:p>
    <w:p>
      <w:r>
        <w:rPr>
          <w:b/>
        </w:rPr>
        <w:t>E. 16</w:t>
      </w:r>
    </w:p>
    <w:p>
      <w:r>
        <w:t>mars 2021, date à partir de laquelle le délai de péremption d’un an a commencé à courir (ATF 125 III 45 consid. 3b). Par conséquent, la poursuite n’était pas périmée lorsque la demanderesse a saisi la chambre de céans, le 20 janvier 2022. En outre, la défenderesse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 sous réserve du montant à déduire de CHF 805.80 - à hauteur de CHF 16'191.90, dans la poursuite no 1______ , avec un intérêt moratoire de 5 % dès le 24 septembre 2020. En ce qui concerne les frais de poursuite par CHF 138.-, ils sont d'office supportés par le débiteur lorsque la poursuite aboutit (JdT 1974 III 32). 13. Enfin, la demanderesse conclut à ce que la défenderesse soit condamnée au paiement d’une indemnisation raisonnable pour les frais de justice encourus. L'art. 73 al. 2 LPP précise que les cantons doivent prévoir une procédure simple, rapide et, en principe, gratuite. L'art. 89H al. 1 LPA prévoit quant à lui que la procédure est gratuite pour les parties, sous réserve de l'al. 4 (relatif à l'assurance- invalidité).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w:t>
      </w:r>
    </w:p>
    <w:p>
      <w:r>
        <w:t>A/230/2022 - 11/12 -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du droit des assurances sociales du 6 octobre 2000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Une indemnité est allouée au recourant qui obtient gain de cause (art. 89H al. 3 LPA). En l’occurrence, il ressort des pièces versées au dossier que la défenderesse a constamment tardé à payer les cotisations dues et ce avant même le dépôt de l’action en paiement. Elle s'est opposée au commandement de payer sans en motiver les raisons et n'a pas répondu aux mises en demeure de la demanderesse, pas plus qu'elle n'a contesté devoir les montants réclamés. Elle n’a fourni aucune explication pour n’avoir pas rempli ses obligations, ni auprès de la demanderesse, ni auprès de la chambre de céans lorsqu’elle a été invitée à répondre. La demanderesse n’a pas eu recours aux services d’un avocat. Néanmoins et conformément à la jurisprudence citée supra, la chambre de céans considère que la défenderesse a agi avec légèreté et peut donc être condamnée à payer des dépens à la demanderesse. Compte tenu des démarches effectuées, soit le dépôt d'une action en paiement, qui ne présente pas de complexité, la chambre de céans fixera le montant des dépens à CHF 1'000.-. 14. L’art. 89H al. 1 LPA prévoit quant à lui que la procédure est gratuite pour les parties, sous réserve de l’al. 4 (relatif à l’assurance-invalidité).</w:t>
      </w:r>
    </w:p>
    <w:p>
      <w:r>
        <w:t>A/230/2022 - 12/12 -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