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ATAS/1049/2014 vom 1. Oktober 2014</w:t>
      </w:r>
    </w:p>
    <w:p>
      <w:r>
        <w:t>GE Cour de justice, 2014-10-01, FR</w:t>
      </w:r>
    </w:p>
    <w:p>
      <w:r>
        <w:rPr>
          <w:b/>
        </w:rPr>
        <w:t xml:space="preserve">Quelle: </w:t>
      </w:r>
      <w:r>
        <w:t>https://mcp.opencaselaw.ch/entscheid/ge_gerichte_ATAS_1049_2014</w:t>
      </w:r>
    </w:p>
    <w:p>
      <w:r>
        <w:t>FR: GE_GERICHTE ATAS/1049/2014 du 1 octobre 2014</w:t>
      </w:r>
    </w:p>
    <w:p>
      <w:r>
        <w:t>IT: GE_GERICHTE ATAS/1049/2014 del 1 ottobre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 délai et la forme prévus par la loi, le recours est recevable (art. 56 et 60 LPGA ; art. 89B de la loi sur la procédure administrative du 12 septembre 1985 – LPA ; RS/GE E 5 10)).</w:t>
      </w:r>
    </w:p>
    <w:p>
      <w:r>
        <w:rPr>
          <w:b/>
        </w:rPr>
        <w:t>E. 3</w:t>
      </w:r>
    </w:p>
    <w:p>
      <w:r>
        <w:t>Le litige porte sur la suspension de 12 jours du droit à l’indemnité du recourant pour recherches d’emploi nulles pour le mois de février 2014, car remises hors délai.</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w:t>
      </w:r>
    </w:p>
    <w:p>
      <w:r>
        <w:t>A/1867/2014 - 4/6 -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Dans un arrêt récent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b) 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w:t>
      </w:r>
    </w:p>
    <w:p>
      <w:r>
        <w:t>A/1867/2014 - 5/6 - contentieux de la sécurité sociale, in : 100 ans de sécurité sociale en Suisse, Cahiers genevois de la sécurité sociale 1990 N° 7, p. 131).</w:t>
      </w:r>
    </w:p>
    <w:p>
      <w:r>
        <w:rPr>
          <w:b/>
        </w:rPr>
        <w:t>E. 6</w:t>
      </w:r>
    </w:p>
    <w:p>
      <w:r>
        <w:t>a) En l’espèce, le recourant était tenu de communiquer ses recherches personnelles d’emplois de février 2014 dans le délai prescrit par l’art. 26 al. 2 OACI, soit le mercredi 5 mars 2014 au plus tard. Or, il résulte des pièces du dossier que le recourant a communiqué ses recherches personnelles d’emploi à l’attention de sa conseillère en personnel par courriel du 6 mars 2014. Il avait joint un fichier excel, expliquant qu’il n’avait plus de formulaire, suite au vol de son porte-document et qu’il n’avait plus de nouvelles de sa conseillère. Force est de constater que les recherches personnelles d’emploi n’ont pas été adressées à l’autorité dans le délai légal, de sorte qu’elles ne peuvent en principe pas être prises en compte. b) Reste à examiner si les motifs avancés par le recourant peuvent constituer une excuse valable au sens de l’art. 26 al. 2, deuxième phrase OACI. Le recourant allègue avoir tenté de contacter sa conseillère en personnel le 4 mars 2014, afin d’obtenir le formulaire de recherches d’emploi qu’il ne possédait plus, suite au vol de son porte-document. Il a rappelé le 5 mars 2014, mais elle était toujours absente, et on lui a indiqué qu’il devait la contacter par mail, ce qu’il a fait, mais le 6 mars seulement, ainsi qu’il ressort des documents produits par le recourant. Les motifs avancés par le recourant ne permettent pas d’admettre une excuse valable. En effet, bien que les recherches d’emploi ont été déposées avec un jour de retard seulement, il ne s’agit pas d’un premier manquement (voir arrêts 8C_64/2012 et 8C_33/23012). Sachant que le délai était impératif et échéait le 5 mars 2014, il incombait au recourant de tout faire pour que les recherches d’emploi parviennent à l’intimé en temps utile, soit par courriel, soit en passant les déposer à la réception. De même, il aurait pu se rendre à la réception de l’ORP dès le 4 mars 2014 pour demander un formulaire de recherches d’emploi. Au vu des circonstances, la chambre de céans ne peut que constater que les recherches ont été déposées hors délai et que les motifs avancés par le recourant ne constituent pas une excuse valable. Pour le surplus, en fixant la durée de suspension à douze jours, l’intimé n’a pas excédé son pouvoir d’appréciation, de sorte que la chambre de céans ne peut s’en écarter.</w:t>
      </w:r>
    </w:p>
    <w:p>
      <w:r>
        <w:rPr>
          <w:b/>
        </w:rPr>
        <w:t>E. 7</w:t>
      </w:r>
    </w:p>
    <w:p>
      <w:r>
        <w:t>Mal fondé, le recours est rejeté.</w:t>
      </w:r>
    </w:p>
    <w:p>
      <w:r>
        <w:t>A/1867/2014 - 6/6 -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