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ATAS/1048/2020 vom 9. November 2020</w:t>
      </w:r>
    </w:p>
    <w:p>
      <w:r>
        <w:t>GE Cour de justice, 2020-11-09, FR</w:t>
      </w:r>
    </w:p>
    <w:p>
      <w:r>
        <w:rPr>
          <w:b/>
        </w:rPr>
        <w:t xml:space="preserve">Quelle: </w:t>
      </w:r>
      <w:r>
        <w:t>https://mcp.opencaselaw.ch/entscheid/ge_gerichte_ATAS_1048_2020</w:t>
      </w:r>
    </w:p>
    <w:p>
      <w:r>
        <w:t>FR: GE_GERICHTE ATAS/1048/2020 du 9 novembre 2020</w:t>
      </w:r>
    </w:p>
    <w:p>
      <w:r>
        <w:t>IT: GE_GERICHTE ATAS/1048/2020 del 9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w:t>
      </w:r>
    </w:p>
    <w:p>
      <w:r>
        <w:rPr>
          <w:b/>
        </w:rPr>
        <w:t>E. 3</w:t>
      </w:r>
    </w:p>
    <w:p>
      <w:r>
        <w:t>L'objet du litige porte sur le bien-fondé de la suspension de 6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de l'ordonnance sur l'assurance-chômage obligatoire et l'indemnité en cas d'insolvabilité du 31 août 1983 [ordonnance sur l’assurance-chômage, OACI - RS 837.02]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w:t>
      </w:r>
    </w:p>
    <w:p>
      <w:r>
        <w:t>A/2338/2020 - 6/12 -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w:t>
      </w:r>
    </w:p>
    <w:p>
      <w:r>
        <w:t>A/2338/2020 - 7/12 - Le Tribunal cantonal des assurances sociales (aujourd’hui la CJCAS)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8</w:t>
      </w:r>
    </w:p>
    <w:p>
      <w:r>
        <w:t>jours si le délai de congé est de 2 mois et de 9 à 12 jours si le délai de congé est de 3 mois ou plus (Bulletin op. 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w:t>
      </w:r>
    </w:p>
    <w:p>
      <w:r>
        <w:t>A/2338/2020 - 8/12 -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8C_601/2012 du 26 février 2013 consid. 4.1, non publié in ATF 139 V 164 et les références;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ATF 8C_73/2013 du 29 août 2013 consid. 5.2). 6. Dans un arrêt du 10 novembre 2009 (ATF 8C_399/2009), le Tribunal fédéral a confirmé la sanction de 5 jours de suspension du droit à l'indemnité de l'assuré qui n'avait pas fourni un nombre suffisant de recherches d'emploi durant son délai de congé de 2 mois et demi;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w:t>
      </w:r>
    </w:p>
    <w:p>
      <w:r>
        <w:rPr>
          <w:b/>
        </w:rPr>
        <w:t>E. 9</w:t>
      </w:r>
    </w:p>
    <w:p>
      <w:r>
        <w:t>Le recourant se justifie en invoquant son ignorance de ses obligations. Une simple recherche sur internet lui aurait permis de se mettre à jour, ce d’autant plus que, comme il le relève, il avait travaillé pendant 20 ans d’affilée et aurait donc dû</w:t>
      </w:r>
    </w:p>
    <w:p>
      <w:r>
        <w:t>A/2338/2020 - 10/12 - entreprendre, dès l’annonce de son licenciement, une mise à jour de ses connaissances en matière de chômage.</w:t>
      </w:r>
    </w:p>
    <w:p>
      <w:r>
        <w:rPr>
          <w:b/>
        </w:rPr>
        <w:t>E. 10</w:t>
      </w:r>
    </w:p>
    <w:p>
      <w:r>
        <w:t>Le recourant a allégué, au stade du recours, qu'il avait fait d'autres recherches d'emploi qu'il n'avait pas inscrites dans les formulaires, ne sachant pas que ces dernières étaient valides : il évoque notamment des démarches téléphoniques à fin janvier 2020. La première avait conduit à l'offre spontanée qu'il avait envoyée à l'entreprise C______ SA (le 6 février 2020, mentionnée dans le formulaire RPE de février 2020; la seconde par laquelle il avait offert ses services au fondateur et CEO d'une entreprise sise à Nyon. À fin janvier - début février, il avait rencontré plusieurs personnes à qui il avait offert ses services, et enfin le 4 février 2020, il avait été se présenter à l'agence de placement Manpower auprès de qui il avait déposé son dossier de candidature. Le lendemain on l'avait rappelé pour une offre d'emploi de sertisseur/gemmologue. La preuve des recherches d'emploi pendant la période précédant l'inscription au chômage n'est pas soumise au délai prévu à l'art. 26 al. 2 OACI, qui prescrit que l'assuré doit remettre la preuve de ses recherches d'emploi pour chaque période de contrôle au plus tard le 5 du mois suivant ou le premier jour ouvrable qui suit cette date, les recherches d'emploi produites après l'expiration de ce délai n'étant plus prises en compte. Comme l'assuré l'indique, les recherches d'emploi supplémentaires inventoriées par lui dans son recours, ne figuraient pas dans les formules mensuelles qu'il avait remplies (le 14 mai 2020); elles ont été mentionnées après coup. La question pourrait dès lors se poser de savoir si ces indications données tardivement pourraient néanmoins être prises en compte. Cette question peut néanmoins souffrir de rester indécise en l'espèce, dès lors que, même prises en compte, ces recherches supplémentaires ne changeraient rien au fait que les recherches effectuées par le recourant avant son inscription au chômage demeureraient insuffisantes. On observera tout d'abord que les deux démarches téléphoniques, à la même personne, effectuées en janvier 2020 (27 et 28 janvier), dans les jours qui ont suivi la notification de son congé, n'apportent de toute manière rien de plus au nombre de démarches entreprises, comme on va le voir. S'agissant de l'entretien téléphonique du 24 janvier 2020 avec Monsieur E______, selon le recourant, il avait été convenu avec son interlocuteur que l'intéressé devrait formuler une offre de services spontanée; ce qu'il a fait le 6 février 2020 (auprès de C______ SA); cette démarche est mentionnée dans le formulaire de février 2020. Il indique en outre qu'en février 2020, il avait rencontré des personnes à qui il avait offert ses services, sans plus de précisions déterminantes : ainsi notamment, début février 2020 il avait été à un repas d'affaires avec le fondateur de l'entreprise Sertivision Sàrl; or c'est précisément avec cette personne qu'il avait eu deux entretiens téléphoniques préalables, les 27 et 28 janvier 2020, pour la même entreprise. Il indique encore qu'au début février, il avait croisé Madame F______, laquelle lui avait indiqué qu'elle le recommanderait auprès de l'atelier C______ SA; cette démarche, si elle était susceptible de renforcer les chances de l'intéressé par</w:t>
      </w:r>
    </w:p>
    <w:p>
      <w:r>
        <w:t>A/2338/2020 - 11/12 - rapport à son offre de services auprès de C______ SA, ne saurait être prise en compte comme une recherche supplémentaire par rapport à ce qui résulte déjà des preuves de recherches d'emploi pour février 2020. Le recourant fait encore valoir que le 4 février 2020, il s'était présenté à l'agence de placement Manpower à qui il avait remis son dossier de candidature. Il fait valoir que le 5 février, il avait reçu une offre de sertisseur/gemmologue de Manpower précisément. Cette preuve de recherche d'emploi, outre le fait qu'elle figure sur la formule RPE de février 2020, ne pourrait être comptabilisée « à double », en prenant en compte la démarche de la veille, auprès de Manpower : en effet, selon la jurisprudence, l'inscription auprès d'agences d'emplois temporaires ne saurait être assimilée à des recherches de travail (ATF du 8 avril 2009 8C 800/2008). Ceci dit, le fait que dès le 17 mars 2020, le Conseil fédéral ait allégé les obligations des chômeurs, par rapport à l'obligation de rechercher des emplois, en raison de la période de pandémie, n'est d'aucun secours au recourant, dans la mesure où cet allégement est postérieur aux recherches d'emploi insuffisantes, au nombre de deux, qu'il a effectuées du 1er au 16 mars 2020. Compte tenu de ce qui précède, aucun élément justificatif ne peut être retenu au bénéfice du recourant. Le principe de la faute est ainsi établi; elle doit être sanctionnée.</w:t>
      </w:r>
    </w:p>
    <w:p>
      <w:r>
        <w:rPr>
          <w:b/>
        </w:rPr>
        <w:t>E. 11</w:t>
      </w:r>
    </w:p>
    <w:p>
      <w:r>
        <w:t>Reste à examiner la proportionnalité de la sanction appliquée par l’OCE. Selon le barème du SECO précité, la sanction prévue dans le cas d'espèce, soit un défaut de recherches d'emploi dans le cadre d'un contrat à durée indéterminée avec un délai de préavis de deux mois, correspond à une suspension du droit à l'indemnité du recourant, située entre 6 et 8 jours. Égale au minimum de jours de suspension prévu par le barème du SECO, soit 6 jours, la sanction respecte la condition de la proportionnalité. Le recourant ne fait pas valoir de circonstances personnelles particulières qui justifieraient une diminution de la sanction. En appliquant ledit barème au cas du recourant et en retenant en conséquence une suspension du droit à l'indemnité de celui-ci de 6 jours, l'intimé n’a pas fait un usage critiquable de son pouvoir d'appréciation.</w:t>
      </w:r>
    </w:p>
    <w:p>
      <w:r>
        <w:rPr>
          <w:b/>
        </w:rPr>
        <w:t>E. 12</w:t>
      </w:r>
    </w:p>
    <w:p>
      <w:r>
        <w:t>Dès lors, la chambre de céans ne peut que rejeter le recours.</w:t>
      </w:r>
    </w:p>
    <w:p>
      <w:r>
        <w:rPr>
          <w:b/>
        </w:rPr>
        <w:t>E. 13</w:t>
      </w:r>
    </w:p>
    <w:p>
      <w:r>
        <w:t>Pour le surplus la procédure est gratuite.</w:t>
      </w:r>
    </w:p>
    <w:p>
      <w:r>
        <w:t>A/2338/2020 - 12/12 -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